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DB577">
      <w:pPr>
        <w:pStyle w:val="4"/>
        <w:spacing w:after="0" w:line="420" w:lineRule="exact"/>
        <w:ind w:left="0" w:leftChars="0" w:firstLine="3600" w:firstLineChars="900"/>
        <w:rPr>
          <w:rFonts w:ascii="方正小标宋简体" w:hAnsi="华文中宋" w:eastAsia="方正小标宋简体" w:cs="华文中宋"/>
          <w:sz w:val="40"/>
          <w:szCs w:val="40"/>
        </w:rPr>
      </w:pPr>
      <w:r>
        <w:rPr>
          <w:rFonts w:hint="eastAsia" w:ascii="方正小标宋简体" w:hAnsi="华文中宋" w:eastAsia="方正小标宋简体" w:cs="华文中宋"/>
          <w:sz w:val="40"/>
          <w:szCs w:val="40"/>
        </w:rPr>
        <w:t>合同样本</w:t>
      </w:r>
    </w:p>
    <w:p w14:paraId="7DEC101C">
      <w:pPr>
        <w:spacing w:line="420" w:lineRule="exact"/>
        <w:jc w:val="center"/>
        <w:rPr>
          <w:rFonts w:hint="eastAsia" w:ascii="方正小标宋简体" w:hAnsi="华文中宋" w:eastAsia="方正小标宋简体" w:cs="华文中宋"/>
          <w:sz w:val="36"/>
          <w:szCs w:val="36"/>
        </w:rPr>
      </w:pPr>
    </w:p>
    <w:p w14:paraId="13D2629A">
      <w:pPr>
        <w:spacing w:line="420" w:lineRule="exact"/>
        <w:jc w:val="center"/>
        <w:rPr>
          <w:rFonts w:hint="eastAsia" w:ascii="方正小标宋简体" w:hAnsi="华文中宋" w:eastAsia="方正小标宋简体" w:cs="华文中宋"/>
          <w:sz w:val="36"/>
          <w:szCs w:val="36"/>
        </w:rPr>
      </w:pPr>
      <w:r>
        <w:rPr>
          <w:rFonts w:hint="eastAsia" w:ascii="方正小标宋简体" w:hAnsi="华文中宋" w:eastAsia="方正小标宋简体" w:cs="华文中宋"/>
          <w:sz w:val="36"/>
          <w:szCs w:val="36"/>
        </w:rPr>
        <w:t>“放飞中国梦 传承红色基因”</w:t>
      </w:r>
    </w:p>
    <w:p w14:paraId="37D9403B">
      <w:pPr>
        <w:spacing w:line="420" w:lineRule="exact"/>
        <w:jc w:val="center"/>
        <w:rPr>
          <w:rFonts w:hint="eastAsia" w:ascii="方正小标宋简体" w:hAnsi="华文中宋" w:eastAsia="方正小标宋简体" w:cs="华文中宋"/>
          <w:sz w:val="36"/>
          <w:szCs w:val="36"/>
        </w:rPr>
      </w:pPr>
      <w:r>
        <w:rPr>
          <w:rFonts w:hint="eastAsia" w:ascii="方正小标宋简体" w:hAnsi="华文中宋" w:eastAsia="方正小标宋简体" w:cs="华文中宋"/>
          <w:sz w:val="36"/>
          <w:szCs w:val="36"/>
        </w:rPr>
        <w:t>合肥市2026年少儿书画大赛暨“我们成长的样子”青少年美育活动</w:t>
      </w:r>
    </w:p>
    <w:p w14:paraId="51AEC19E">
      <w:pPr>
        <w:spacing w:line="420" w:lineRule="exact"/>
        <w:jc w:val="center"/>
        <w:rPr>
          <w:rFonts w:ascii="方正小标宋简体" w:hAnsi="华文中宋" w:eastAsia="方正小标宋简体" w:cs="华文中宋"/>
          <w:sz w:val="36"/>
          <w:szCs w:val="36"/>
        </w:rPr>
      </w:pPr>
      <w:r>
        <w:rPr>
          <w:rFonts w:hint="eastAsia" w:ascii="方正小标宋简体" w:hAnsi="华文中宋" w:eastAsia="方正小标宋简体" w:cs="华文中宋"/>
          <w:sz w:val="36"/>
          <w:szCs w:val="36"/>
        </w:rPr>
        <w:t>服务项目采购合同</w:t>
      </w:r>
    </w:p>
    <w:p w14:paraId="22A30FE5">
      <w:pPr>
        <w:pStyle w:val="4"/>
        <w:spacing w:after="0" w:line="420" w:lineRule="exact"/>
        <w:ind w:firstLine="3092" w:firstLineChars="1100"/>
        <w:rPr>
          <w:rFonts w:ascii="仿宋" w:hAnsi="仿宋" w:eastAsia="仿宋"/>
          <w:b/>
          <w:bCs/>
          <w:sz w:val="28"/>
          <w:szCs w:val="28"/>
        </w:rPr>
      </w:pPr>
    </w:p>
    <w:p w14:paraId="62964A28">
      <w:pPr>
        <w:spacing w:line="340" w:lineRule="exact"/>
        <w:ind w:firstLine="280" w:firstLineChars="100"/>
        <w:rPr>
          <w:rFonts w:ascii="仿宋" w:hAnsi="仿宋" w:eastAsia="仿宋" w:cs="宋体"/>
          <w:sz w:val="28"/>
          <w:szCs w:val="28"/>
        </w:rPr>
      </w:pPr>
      <w:r>
        <w:rPr>
          <w:rFonts w:hint="eastAsia" w:ascii="仿宋" w:hAnsi="仿宋" w:eastAsia="仿宋" w:cs="宋体"/>
          <w:sz w:val="28"/>
          <w:szCs w:val="28"/>
        </w:rPr>
        <w:t>买  方：合肥市文化馆（赖少其艺术馆）      电话：0551-63524372</w:t>
      </w:r>
    </w:p>
    <w:p w14:paraId="310FACA0">
      <w:pPr>
        <w:spacing w:line="340" w:lineRule="exact"/>
        <w:ind w:firstLine="280" w:firstLineChars="100"/>
        <w:rPr>
          <w:rFonts w:ascii="仿宋" w:hAnsi="仿宋" w:eastAsia="仿宋" w:cs="宋体"/>
          <w:sz w:val="28"/>
          <w:szCs w:val="28"/>
          <w:highlight w:val="yellow"/>
        </w:rPr>
      </w:pPr>
      <w:r>
        <w:rPr>
          <w:rFonts w:hint="eastAsia" w:ascii="仿宋" w:hAnsi="仿宋" w:eastAsia="仿宋" w:cs="宋体"/>
          <w:sz w:val="28"/>
          <w:szCs w:val="28"/>
        </w:rPr>
        <w:t>卖  方：（</w:t>
      </w:r>
      <w:r>
        <w:rPr>
          <w:rFonts w:ascii="仿宋" w:hAnsi="仿宋" w:eastAsia="仿宋" w:cs="宋体"/>
          <w:sz w:val="28"/>
          <w:szCs w:val="28"/>
        </w:rPr>
        <w:t>成交供应商）</w:t>
      </w:r>
      <w:r>
        <w:rPr>
          <w:rFonts w:hint="eastAsia" w:ascii="仿宋" w:hAnsi="仿宋" w:eastAsia="仿宋" w:cs="宋体"/>
          <w:sz w:val="28"/>
          <w:szCs w:val="28"/>
        </w:rPr>
        <w:t>：                  电话：</w:t>
      </w:r>
    </w:p>
    <w:p w14:paraId="36B3221F">
      <w:pPr>
        <w:spacing w:line="340" w:lineRule="exact"/>
        <w:ind w:firstLine="697" w:firstLineChars="248"/>
        <w:rPr>
          <w:rFonts w:ascii="仿宋" w:hAnsi="仿宋" w:eastAsia="仿宋" w:cs="宋体"/>
          <w:b/>
          <w:bCs/>
          <w:sz w:val="28"/>
          <w:szCs w:val="28"/>
        </w:rPr>
      </w:pPr>
    </w:p>
    <w:p w14:paraId="444659BF">
      <w:pPr>
        <w:spacing w:line="340" w:lineRule="exact"/>
        <w:ind w:firstLine="694" w:firstLineChars="248"/>
        <w:rPr>
          <w:rFonts w:ascii="黑体" w:hAnsi="黑体" w:eastAsia="黑体" w:cs="宋体"/>
          <w:bCs/>
          <w:sz w:val="28"/>
          <w:szCs w:val="28"/>
        </w:rPr>
      </w:pPr>
      <w:r>
        <w:rPr>
          <w:rFonts w:hint="eastAsia" w:ascii="黑体" w:hAnsi="黑体" w:eastAsia="黑体" w:cs="宋体"/>
          <w:bCs/>
          <w:sz w:val="28"/>
          <w:szCs w:val="28"/>
        </w:rPr>
        <w:t>一、总则</w:t>
      </w:r>
    </w:p>
    <w:p w14:paraId="0A28E298">
      <w:pPr>
        <w:spacing w:line="340" w:lineRule="exact"/>
        <w:ind w:firstLine="435"/>
        <w:rPr>
          <w:rFonts w:ascii="宋体" w:hAnsi="宋体"/>
          <w:sz w:val="24"/>
          <w:lang w:val="zh-CN"/>
        </w:rPr>
      </w:pPr>
      <w:r>
        <w:rPr>
          <w:rFonts w:hint="eastAsia" w:ascii="仿宋" w:hAnsi="仿宋" w:eastAsia="仿宋" w:cs="宋体"/>
          <w:sz w:val="28"/>
          <w:szCs w:val="28"/>
        </w:rPr>
        <w:t xml:space="preserve">  买方通过询价方式决定将本项目采购合同授予卖方。为进一步明确双方的责任，确保合同的顺利履行，根据《中华人民共和国政府采购法》《中华人民共和国民法典》及有关法律规定，按照平等、自愿、公平和诚实信用的原则，经甲方和乙方协商一致，约定以下合同条款，以兹共同遵守、全面履行。</w:t>
      </w:r>
    </w:p>
    <w:p w14:paraId="31B3CA6C">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二、组成合同的文件</w:t>
      </w:r>
    </w:p>
    <w:p w14:paraId="10BACC75">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组成本合同的文件包括：</w:t>
      </w:r>
    </w:p>
    <w:p w14:paraId="7F76A8DA">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采购文件及答疑、更正公告；</w:t>
      </w:r>
    </w:p>
    <w:p w14:paraId="487386E1">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采购文件标准文本中的“合同条款”；</w:t>
      </w:r>
    </w:p>
    <w:p w14:paraId="4B915130">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中标或成交公告；</w:t>
      </w:r>
    </w:p>
    <w:p w14:paraId="3ED4DAF2">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卖方提交的投标文件及书面承诺函；</w:t>
      </w:r>
    </w:p>
    <w:p w14:paraId="3BFC6A57">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双方另行签订的补充协议。</w:t>
      </w:r>
    </w:p>
    <w:p w14:paraId="47A04FFA">
      <w:pPr>
        <w:spacing w:line="340" w:lineRule="exact"/>
        <w:rPr>
          <w:rFonts w:ascii="黑体" w:hAnsi="黑体" w:eastAsia="黑体" w:cs="宋体"/>
          <w:bCs/>
          <w:sz w:val="28"/>
          <w:szCs w:val="28"/>
        </w:rPr>
      </w:pPr>
      <w:r>
        <w:rPr>
          <w:rFonts w:hint="eastAsia" w:ascii="仿宋" w:hAnsi="仿宋" w:eastAsia="仿宋" w:cs="宋体"/>
          <w:b/>
          <w:bCs/>
          <w:sz w:val="28"/>
          <w:szCs w:val="28"/>
        </w:rPr>
        <w:t xml:space="preserve">   </w:t>
      </w:r>
      <w:r>
        <w:rPr>
          <w:rFonts w:hint="eastAsia" w:ascii="黑体" w:hAnsi="黑体" w:eastAsia="黑体" w:cs="宋体"/>
          <w:b/>
          <w:bCs/>
          <w:sz w:val="28"/>
          <w:szCs w:val="28"/>
        </w:rPr>
        <w:t xml:space="preserve"> </w:t>
      </w:r>
      <w:r>
        <w:rPr>
          <w:rFonts w:hint="eastAsia" w:ascii="黑体" w:hAnsi="黑体" w:eastAsia="黑体" w:cs="宋体"/>
          <w:bCs/>
          <w:sz w:val="28"/>
          <w:szCs w:val="28"/>
        </w:rPr>
        <w:t>三、 合同金额</w:t>
      </w:r>
    </w:p>
    <w:p w14:paraId="7A5B9C91">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本合同的总金额</w:t>
      </w:r>
      <w:r>
        <w:rPr>
          <w:rFonts w:hint="eastAsia" w:ascii="宋体" w:hAnsi="宋体"/>
          <w:sz w:val="24"/>
        </w:rPr>
        <w:t>￥</w:t>
      </w:r>
      <w:r>
        <w:rPr>
          <w:rFonts w:hint="eastAsia" w:ascii="仿宋" w:hAnsi="仿宋" w:eastAsia="仿宋" w:cs="宋体"/>
          <w:bCs/>
          <w:sz w:val="28"/>
          <w:szCs w:val="28"/>
          <w:u w:val="single"/>
        </w:rPr>
        <w:t xml:space="preserve">     </w:t>
      </w:r>
      <w:r>
        <w:rPr>
          <w:rFonts w:ascii="仿宋" w:hAnsi="仿宋" w:eastAsia="仿宋" w:cs="宋体"/>
          <w:bCs/>
          <w:sz w:val="28"/>
          <w:szCs w:val="28"/>
          <w:u w:val="single"/>
        </w:rPr>
        <w:t xml:space="preserve">       </w:t>
      </w:r>
      <w:r>
        <w:rPr>
          <w:rFonts w:hint="eastAsia" w:ascii="仿宋" w:hAnsi="仿宋" w:eastAsia="仿宋" w:cs="宋体"/>
          <w:bCs/>
          <w:sz w:val="28"/>
          <w:szCs w:val="28"/>
        </w:rPr>
        <w:t>元  (人民币大写：            )。</w:t>
      </w:r>
    </w:p>
    <w:p w14:paraId="5AD89D0D">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分项</w:t>
      </w:r>
      <w:r>
        <w:rPr>
          <w:rFonts w:ascii="仿宋" w:hAnsi="仿宋" w:eastAsia="仿宋" w:cs="宋体"/>
          <w:bCs/>
          <w:sz w:val="28"/>
          <w:szCs w:val="28"/>
        </w:rPr>
        <w:t>价格</w:t>
      </w:r>
      <w:r>
        <w:rPr>
          <w:rFonts w:hint="eastAsia" w:ascii="仿宋" w:hAnsi="仿宋" w:eastAsia="仿宋" w:cs="宋体"/>
          <w:bCs/>
          <w:sz w:val="28"/>
          <w:szCs w:val="28"/>
        </w:rPr>
        <w:t>：</w:t>
      </w:r>
    </w:p>
    <w:tbl>
      <w:tblPr>
        <w:tblStyle w:val="5"/>
        <w:tblpPr w:leftFromText="180" w:rightFromText="180" w:vertAnchor="text" w:horzAnchor="page" w:tblpXSpec="center" w:tblpY="39"/>
        <w:tblOverlap w:val="never"/>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305"/>
        <w:gridCol w:w="4365"/>
        <w:gridCol w:w="885"/>
        <w:gridCol w:w="1035"/>
      </w:tblGrid>
      <w:tr w14:paraId="56D2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60" w:type="dxa"/>
            <w:noWrap w:val="0"/>
            <w:vAlign w:val="center"/>
          </w:tcPr>
          <w:p w14:paraId="649D9B03">
            <w:pPr>
              <w:widowControl/>
              <w:jc w:val="center"/>
              <w:rPr>
                <w:rFonts w:hint="eastAsia" w:ascii="仿宋" w:hAnsi="仿宋" w:eastAsia="仿宋" w:cs="仿宋"/>
                <w:b/>
              </w:rPr>
            </w:pPr>
            <w:r>
              <w:rPr>
                <w:rFonts w:hint="eastAsia" w:ascii="仿宋" w:hAnsi="仿宋" w:eastAsia="仿宋" w:cs="仿宋"/>
                <w:b/>
              </w:rPr>
              <w:t>序号</w:t>
            </w:r>
          </w:p>
        </w:tc>
        <w:tc>
          <w:tcPr>
            <w:tcW w:w="1305" w:type="dxa"/>
            <w:noWrap w:val="0"/>
            <w:vAlign w:val="center"/>
          </w:tcPr>
          <w:p w14:paraId="1F176816">
            <w:pPr>
              <w:widowControl/>
              <w:jc w:val="center"/>
              <w:rPr>
                <w:rFonts w:hint="eastAsia" w:ascii="仿宋" w:hAnsi="仿宋" w:eastAsia="仿宋" w:cs="仿宋"/>
                <w:b/>
              </w:rPr>
            </w:pPr>
            <w:r>
              <w:rPr>
                <w:rFonts w:hint="eastAsia" w:ascii="仿宋" w:hAnsi="仿宋" w:eastAsia="仿宋" w:cs="仿宋"/>
                <w:b/>
              </w:rPr>
              <w:t>名称</w:t>
            </w:r>
          </w:p>
        </w:tc>
        <w:tc>
          <w:tcPr>
            <w:tcW w:w="4365" w:type="dxa"/>
            <w:noWrap w:val="0"/>
            <w:vAlign w:val="center"/>
          </w:tcPr>
          <w:p w14:paraId="40D57B17">
            <w:pPr>
              <w:widowControl/>
              <w:jc w:val="center"/>
              <w:rPr>
                <w:rFonts w:hint="eastAsia" w:ascii="仿宋" w:hAnsi="仿宋" w:eastAsia="仿宋" w:cs="仿宋"/>
                <w:b/>
              </w:rPr>
            </w:pPr>
            <w:r>
              <w:rPr>
                <w:rFonts w:hint="eastAsia" w:ascii="仿宋" w:hAnsi="仿宋" w:eastAsia="仿宋" w:cs="仿宋"/>
                <w:b/>
              </w:rPr>
              <w:t>标准要求或规格型号</w:t>
            </w:r>
          </w:p>
        </w:tc>
        <w:tc>
          <w:tcPr>
            <w:tcW w:w="885" w:type="dxa"/>
            <w:noWrap w:val="0"/>
            <w:vAlign w:val="center"/>
          </w:tcPr>
          <w:p w14:paraId="796E9844">
            <w:pPr>
              <w:widowControl/>
              <w:jc w:val="center"/>
              <w:rPr>
                <w:rFonts w:hint="eastAsia" w:ascii="仿宋" w:hAnsi="仿宋" w:eastAsia="仿宋" w:cs="仿宋"/>
                <w:b/>
              </w:rPr>
            </w:pPr>
            <w:r>
              <w:rPr>
                <w:rFonts w:hint="eastAsia" w:ascii="仿宋" w:hAnsi="仿宋" w:eastAsia="仿宋" w:cs="仿宋"/>
                <w:b/>
              </w:rPr>
              <w:t>数量</w:t>
            </w:r>
          </w:p>
        </w:tc>
        <w:tc>
          <w:tcPr>
            <w:tcW w:w="1035" w:type="dxa"/>
            <w:noWrap w:val="0"/>
            <w:vAlign w:val="center"/>
          </w:tcPr>
          <w:p w14:paraId="486D02EB">
            <w:pPr>
              <w:widowControl/>
              <w:jc w:val="center"/>
              <w:rPr>
                <w:rFonts w:hint="eastAsia" w:ascii="仿宋" w:hAnsi="仿宋" w:eastAsia="仿宋" w:cs="仿宋"/>
                <w:b/>
              </w:rPr>
            </w:pPr>
            <w:r>
              <w:rPr>
                <w:rFonts w:hint="eastAsia" w:ascii="仿宋" w:hAnsi="仿宋" w:eastAsia="仿宋" w:cs="仿宋"/>
                <w:b/>
              </w:rPr>
              <w:t>报价</w:t>
            </w:r>
          </w:p>
        </w:tc>
      </w:tr>
      <w:tr w14:paraId="4D07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60" w:type="dxa"/>
            <w:vMerge w:val="restart"/>
            <w:noWrap w:val="0"/>
            <w:vAlign w:val="center"/>
          </w:tcPr>
          <w:p w14:paraId="393A115D">
            <w:pPr>
              <w:widowControl/>
              <w:spacing w:line="220" w:lineRule="atLeast"/>
              <w:jc w:val="center"/>
              <w:rPr>
                <w:rFonts w:hint="eastAsia" w:ascii="仿宋" w:hAnsi="仿宋" w:eastAsia="仿宋" w:cs="仿宋"/>
                <w:bCs/>
              </w:rPr>
            </w:pPr>
            <w:r>
              <w:rPr>
                <w:rFonts w:hint="eastAsia" w:ascii="仿宋" w:hAnsi="仿宋" w:eastAsia="仿宋" w:cs="仿宋"/>
                <w:bCs/>
              </w:rPr>
              <w:t>1</w:t>
            </w:r>
          </w:p>
        </w:tc>
        <w:tc>
          <w:tcPr>
            <w:tcW w:w="1305" w:type="dxa"/>
            <w:noWrap w:val="0"/>
            <w:vAlign w:val="center"/>
          </w:tcPr>
          <w:p w14:paraId="0F120E6D">
            <w:pPr>
              <w:widowControl/>
              <w:spacing w:line="220" w:lineRule="atLeast"/>
              <w:jc w:val="center"/>
              <w:rPr>
                <w:rFonts w:hint="eastAsia" w:ascii="仿宋" w:hAnsi="仿宋" w:eastAsia="仿宋" w:cs="仿宋"/>
                <w:bCs/>
              </w:rPr>
            </w:pPr>
            <w:r>
              <w:rPr>
                <w:rFonts w:hint="eastAsia" w:ascii="仿宋" w:hAnsi="仿宋" w:eastAsia="仿宋" w:cs="仿宋"/>
                <w:bCs/>
              </w:rPr>
              <w:t>优秀作品展</w:t>
            </w:r>
          </w:p>
        </w:tc>
        <w:tc>
          <w:tcPr>
            <w:tcW w:w="4365" w:type="dxa"/>
            <w:noWrap w:val="0"/>
            <w:vAlign w:val="center"/>
          </w:tcPr>
          <w:p w14:paraId="05ABD671">
            <w:pPr>
              <w:widowControl/>
              <w:spacing w:line="220" w:lineRule="atLeast"/>
              <w:jc w:val="center"/>
              <w:rPr>
                <w:rFonts w:hint="eastAsia" w:ascii="仿宋" w:hAnsi="仿宋" w:eastAsia="仿宋" w:cs="仿宋"/>
                <w:bCs/>
              </w:rPr>
            </w:pPr>
            <w:r>
              <w:rPr>
                <w:rFonts w:hint="eastAsia" w:ascii="仿宋" w:hAnsi="仿宋" w:eastAsia="仿宋" w:cs="仿宋"/>
                <w:bCs/>
              </w:rPr>
              <w:t>主题雕刻字制作、少儿主题场景搭建（不高于3m×1m×1.5m）、儿童主题氛围烘托、部分展区展架搭建及租赁等</w:t>
            </w:r>
          </w:p>
        </w:tc>
        <w:tc>
          <w:tcPr>
            <w:tcW w:w="885" w:type="dxa"/>
            <w:noWrap w:val="0"/>
            <w:vAlign w:val="center"/>
          </w:tcPr>
          <w:p w14:paraId="699650B5">
            <w:pPr>
              <w:widowControl/>
              <w:spacing w:line="220" w:lineRule="atLeast"/>
              <w:jc w:val="center"/>
              <w:rPr>
                <w:rFonts w:hint="eastAsia" w:ascii="仿宋" w:hAnsi="仿宋" w:eastAsia="仿宋" w:cs="仿宋"/>
                <w:bCs/>
              </w:rPr>
            </w:pPr>
            <w:r>
              <w:rPr>
                <w:rFonts w:hint="eastAsia" w:ascii="仿宋" w:hAnsi="仿宋" w:eastAsia="仿宋" w:cs="仿宋"/>
                <w:bCs/>
              </w:rPr>
              <w:t>1场</w:t>
            </w:r>
          </w:p>
        </w:tc>
        <w:tc>
          <w:tcPr>
            <w:tcW w:w="1035" w:type="dxa"/>
            <w:noWrap w:val="0"/>
            <w:vAlign w:val="center"/>
          </w:tcPr>
          <w:p w14:paraId="55DB7BC2">
            <w:pPr>
              <w:widowControl/>
              <w:spacing w:line="220" w:lineRule="atLeast"/>
              <w:jc w:val="center"/>
              <w:rPr>
                <w:rFonts w:hint="eastAsia" w:ascii="仿宋" w:hAnsi="仿宋" w:eastAsia="仿宋" w:cs="仿宋"/>
                <w:bCs/>
              </w:rPr>
            </w:pPr>
          </w:p>
        </w:tc>
      </w:tr>
      <w:tr w14:paraId="4FB8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60" w:type="dxa"/>
            <w:vMerge w:val="continue"/>
            <w:noWrap w:val="0"/>
            <w:vAlign w:val="center"/>
          </w:tcPr>
          <w:p w14:paraId="3A826ABD">
            <w:pPr>
              <w:widowControl/>
              <w:spacing w:line="220" w:lineRule="atLeast"/>
              <w:jc w:val="center"/>
              <w:rPr>
                <w:rFonts w:hint="eastAsia" w:ascii="仿宋" w:hAnsi="仿宋" w:eastAsia="仿宋" w:cs="仿宋"/>
                <w:bCs/>
              </w:rPr>
            </w:pPr>
          </w:p>
        </w:tc>
        <w:tc>
          <w:tcPr>
            <w:tcW w:w="1305" w:type="dxa"/>
            <w:noWrap w:val="0"/>
            <w:vAlign w:val="center"/>
          </w:tcPr>
          <w:p w14:paraId="57899457">
            <w:pPr>
              <w:widowControl/>
              <w:spacing w:line="220" w:lineRule="atLeast"/>
              <w:jc w:val="center"/>
              <w:rPr>
                <w:rFonts w:hint="eastAsia" w:ascii="仿宋" w:hAnsi="仿宋" w:eastAsia="仿宋" w:cs="仿宋"/>
                <w:bCs/>
              </w:rPr>
            </w:pPr>
            <w:r>
              <w:rPr>
                <w:rFonts w:hint="eastAsia" w:ascii="仿宋" w:hAnsi="仿宋" w:eastAsia="仿宋" w:cs="仿宋"/>
                <w:bCs/>
              </w:rPr>
              <w:t>巡展布展</w:t>
            </w:r>
          </w:p>
        </w:tc>
        <w:tc>
          <w:tcPr>
            <w:tcW w:w="4365" w:type="dxa"/>
            <w:noWrap w:val="0"/>
            <w:vAlign w:val="center"/>
          </w:tcPr>
          <w:p w14:paraId="09D4FFBD">
            <w:pPr>
              <w:widowControl/>
              <w:spacing w:line="220" w:lineRule="atLeast"/>
              <w:jc w:val="center"/>
              <w:rPr>
                <w:rFonts w:hint="eastAsia" w:ascii="仿宋" w:hAnsi="仿宋" w:eastAsia="仿宋" w:cs="仿宋"/>
                <w:bCs/>
              </w:rPr>
            </w:pPr>
            <w:r>
              <w:rPr>
                <w:rFonts w:hint="eastAsia" w:ascii="仿宋" w:hAnsi="仿宋" w:eastAsia="仿宋" w:cs="仿宋"/>
                <w:bCs/>
              </w:rPr>
              <w:t>作品布置、儿童主题氛围烘托、综合艺术作品展区氛围、作品运输（不限于合肥市内）等</w:t>
            </w:r>
          </w:p>
        </w:tc>
        <w:tc>
          <w:tcPr>
            <w:tcW w:w="885" w:type="dxa"/>
            <w:noWrap w:val="0"/>
            <w:vAlign w:val="center"/>
          </w:tcPr>
          <w:p w14:paraId="63066E5E">
            <w:pPr>
              <w:widowControl/>
              <w:spacing w:line="220" w:lineRule="atLeast"/>
              <w:jc w:val="center"/>
              <w:rPr>
                <w:rFonts w:hint="eastAsia" w:ascii="仿宋" w:hAnsi="仿宋" w:eastAsia="仿宋" w:cs="仿宋"/>
                <w:bCs/>
              </w:rPr>
            </w:pPr>
            <w:r>
              <w:rPr>
                <w:rFonts w:hint="eastAsia" w:ascii="仿宋" w:hAnsi="仿宋" w:eastAsia="仿宋" w:cs="仿宋"/>
                <w:bCs/>
              </w:rPr>
              <w:t>不少于3场</w:t>
            </w:r>
          </w:p>
        </w:tc>
        <w:tc>
          <w:tcPr>
            <w:tcW w:w="1035" w:type="dxa"/>
            <w:noWrap w:val="0"/>
            <w:vAlign w:val="center"/>
          </w:tcPr>
          <w:p w14:paraId="55CCCBF7">
            <w:pPr>
              <w:widowControl/>
              <w:spacing w:line="220" w:lineRule="atLeast"/>
              <w:jc w:val="center"/>
              <w:rPr>
                <w:rFonts w:hint="eastAsia" w:ascii="仿宋" w:hAnsi="仿宋" w:eastAsia="仿宋" w:cs="仿宋"/>
                <w:bCs/>
              </w:rPr>
            </w:pPr>
          </w:p>
        </w:tc>
      </w:tr>
      <w:tr w14:paraId="7936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60" w:type="dxa"/>
            <w:vMerge w:val="continue"/>
            <w:noWrap w:val="0"/>
            <w:vAlign w:val="center"/>
          </w:tcPr>
          <w:p w14:paraId="2AACBCB9">
            <w:pPr>
              <w:widowControl/>
              <w:spacing w:line="220" w:lineRule="atLeast"/>
              <w:jc w:val="center"/>
              <w:rPr>
                <w:rFonts w:hint="eastAsia" w:ascii="仿宋" w:hAnsi="仿宋" w:eastAsia="仿宋" w:cs="仿宋"/>
                <w:bCs/>
              </w:rPr>
            </w:pPr>
          </w:p>
        </w:tc>
        <w:tc>
          <w:tcPr>
            <w:tcW w:w="1305" w:type="dxa"/>
            <w:noWrap w:val="0"/>
            <w:vAlign w:val="center"/>
          </w:tcPr>
          <w:p w14:paraId="5D3B4DC5">
            <w:pPr>
              <w:widowControl/>
              <w:spacing w:line="220" w:lineRule="atLeast"/>
              <w:jc w:val="center"/>
              <w:rPr>
                <w:rFonts w:hint="eastAsia" w:ascii="仿宋" w:hAnsi="仿宋" w:eastAsia="仿宋" w:cs="仿宋"/>
                <w:bCs/>
              </w:rPr>
            </w:pPr>
            <w:r>
              <w:rPr>
                <w:rFonts w:hint="eastAsia" w:ascii="仿宋" w:hAnsi="仿宋" w:eastAsia="仿宋" w:cs="仿宋"/>
                <w:bCs/>
              </w:rPr>
              <w:t>布展材料</w:t>
            </w:r>
          </w:p>
        </w:tc>
        <w:tc>
          <w:tcPr>
            <w:tcW w:w="4365" w:type="dxa"/>
            <w:noWrap w:val="0"/>
            <w:vAlign w:val="center"/>
          </w:tcPr>
          <w:p w14:paraId="3E79BB78">
            <w:pPr>
              <w:widowControl/>
              <w:spacing w:line="220" w:lineRule="atLeast"/>
              <w:jc w:val="center"/>
              <w:rPr>
                <w:rFonts w:hint="eastAsia" w:ascii="仿宋" w:hAnsi="仿宋" w:eastAsia="仿宋" w:cs="仿宋"/>
                <w:bCs/>
              </w:rPr>
            </w:pPr>
            <w:r>
              <w:rPr>
                <w:rFonts w:hint="eastAsia" w:ascii="仿宋" w:hAnsi="仿宋" w:eastAsia="仿宋" w:cs="仿宋"/>
                <w:bCs/>
              </w:rPr>
              <w:t>作品衬托背板材料0.5cm背板、KT板等，综合类作品展台（台面面积不少于10平方米）、部分作品托裱及其他布展材料</w:t>
            </w:r>
          </w:p>
        </w:tc>
        <w:tc>
          <w:tcPr>
            <w:tcW w:w="885" w:type="dxa"/>
            <w:noWrap w:val="0"/>
            <w:vAlign w:val="center"/>
          </w:tcPr>
          <w:p w14:paraId="2A95E3A6">
            <w:pPr>
              <w:widowControl/>
              <w:spacing w:line="220" w:lineRule="atLeast"/>
              <w:jc w:val="center"/>
              <w:rPr>
                <w:rFonts w:hint="eastAsia" w:ascii="仿宋" w:hAnsi="仿宋" w:eastAsia="仿宋" w:cs="仿宋"/>
                <w:bCs/>
              </w:rPr>
            </w:pPr>
            <w:r>
              <w:rPr>
                <w:rFonts w:hint="eastAsia" w:ascii="仿宋" w:hAnsi="仿宋" w:eastAsia="仿宋" w:cs="仿宋"/>
                <w:bCs/>
              </w:rPr>
              <w:t>不少于4场</w:t>
            </w:r>
          </w:p>
        </w:tc>
        <w:tc>
          <w:tcPr>
            <w:tcW w:w="1035" w:type="dxa"/>
            <w:noWrap w:val="0"/>
            <w:vAlign w:val="center"/>
          </w:tcPr>
          <w:p w14:paraId="0E3C3FC8">
            <w:pPr>
              <w:widowControl/>
              <w:spacing w:line="220" w:lineRule="atLeast"/>
              <w:jc w:val="center"/>
              <w:rPr>
                <w:rFonts w:hint="eastAsia" w:ascii="仿宋" w:hAnsi="仿宋" w:eastAsia="仿宋" w:cs="仿宋"/>
                <w:bCs/>
              </w:rPr>
            </w:pPr>
          </w:p>
        </w:tc>
      </w:tr>
      <w:tr w14:paraId="6E70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60" w:type="dxa"/>
            <w:vMerge w:val="continue"/>
            <w:noWrap w:val="0"/>
            <w:vAlign w:val="center"/>
          </w:tcPr>
          <w:p w14:paraId="1295E42F">
            <w:pPr>
              <w:widowControl/>
              <w:spacing w:line="220" w:lineRule="atLeast"/>
              <w:jc w:val="center"/>
              <w:rPr>
                <w:rFonts w:hint="eastAsia" w:ascii="仿宋" w:hAnsi="仿宋" w:eastAsia="仿宋" w:cs="仿宋"/>
                <w:bCs/>
              </w:rPr>
            </w:pPr>
          </w:p>
        </w:tc>
        <w:tc>
          <w:tcPr>
            <w:tcW w:w="1305" w:type="dxa"/>
            <w:noWrap w:val="0"/>
            <w:vAlign w:val="center"/>
          </w:tcPr>
          <w:p w14:paraId="52D4D180">
            <w:pPr>
              <w:widowControl/>
              <w:spacing w:line="220" w:lineRule="atLeast"/>
              <w:jc w:val="center"/>
              <w:rPr>
                <w:rFonts w:hint="eastAsia" w:ascii="仿宋" w:hAnsi="仿宋" w:eastAsia="仿宋" w:cs="仿宋"/>
                <w:bCs/>
              </w:rPr>
            </w:pPr>
            <w:r>
              <w:rPr>
                <w:rFonts w:hint="eastAsia" w:ascii="仿宋" w:hAnsi="仿宋" w:eastAsia="仿宋" w:cs="仿宋"/>
                <w:bCs/>
              </w:rPr>
              <w:t>桁架租赁及喷绘制作</w:t>
            </w:r>
          </w:p>
        </w:tc>
        <w:tc>
          <w:tcPr>
            <w:tcW w:w="4365" w:type="dxa"/>
            <w:noWrap w:val="0"/>
            <w:vAlign w:val="center"/>
          </w:tcPr>
          <w:p w14:paraId="13EB00C2">
            <w:pPr>
              <w:widowControl/>
              <w:spacing w:line="220" w:lineRule="atLeast"/>
              <w:jc w:val="center"/>
              <w:rPr>
                <w:rFonts w:hint="eastAsia" w:ascii="仿宋" w:hAnsi="仿宋" w:eastAsia="仿宋" w:cs="仿宋"/>
                <w:bCs/>
              </w:rPr>
            </w:pPr>
            <w:r>
              <w:rPr>
                <w:rFonts w:hint="eastAsia" w:ascii="仿宋" w:hAnsi="仿宋" w:eastAsia="仿宋" w:cs="仿宋"/>
                <w:bCs/>
              </w:rPr>
              <w:t>四场展览桁架租赁、防透光喷绘设计制作、加厚高清海报、海报展架等</w:t>
            </w:r>
          </w:p>
        </w:tc>
        <w:tc>
          <w:tcPr>
            <w:tcW w:w="885" w:type="dxa"/>
            <w:noWrap w:val="0"/>
            <w:vAlign w:val="center"/>
          </w:tcPr>
          <w:p w14:paraId="3600D5F0">
            <w:pPr>
              <w:widowControl/>
              <w:spacing w:line="220" w:lineRule="atLeast"/>
              <w:jc w:val="center"/>
              <w:rPr>
                <w:rFonts w:hint="eastAsia" w:ascii="仿宋" w:hAnsi="仿宋" w:eastAsia="仿宋" w:cs="仿宋"/>
                <w:bCs/>
              </w:rPr>
            </w:pPr>
            <w:r>
              <w:rPr>
                <w:rFonts w:hint="eastAsia" w:ascii="仿宋" w:hAnsi="仿宋" w:eastAsia="仿宋" w:cs="仿宋"/>
                <w:bCs/>
              </w:rPr>
              <w:t>不少于4场</w:t>
            </w:r>
          </w:p>
        </w:tc>
        <w:tc>
          <w:tcPr>
            <w:tcW w:w="1035" w:type="dxa"/>
            <w:noWrap w:val="0"/>
            <w:vAlign w:val="center"/>
          </w:tcPr>
          <w:p w14:paraId="08F8CB65">
            <w:pPr>
              <w:widowControl/>
              <w:spacing w:line="220" w:lineRule="atLeast"/>
              <w:jc w:val="center"/>
              <w:rPr>
                <w:rFonts w:hint="eastAsia" w:ascii="仿宋" w:hAnsi="仿宋" w:eastAsia="仿宋" w:cs="仿宋"/>
                <w:bCs/>
              </w:rPr>
            </w:pPr>
          </w:p>
        </w:tc>
      </w:tr>
      <w:tr w14:paraId="3C08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60" w:type="dxa"/>
            <w:vMerge w:val="continue"/>
            <w:noWrap w:val="0"/>
            <w:vAlign w:val="center"/>
          </w:tcPr>
          <w:p w14:paraId="278CDC0E">
            <w:pPr>
              <w:widowControl/>
              <w:spacing w:line="220" w:lineRule="atLeast"/>
              <w:jc w:val="center"/>
              <w:rPr>
                <w:rFonts w:hint="eastAsia" w:ascii="仿宋" w:hAnsi="仿宋" w:eastAsia="仿宋" w:cs="仿宋"/>
                <w:bCs/>
              </w:rPr>
            </w:pPr>
          </w:p>
        </w:tc>
        <w:tc>
          <w:tcPr>
            <w:tcW w:w="1305" w:type="dxa"/>
            <w:noWrap w:val="0"/>
            <w:vAlign w:val="center"/>
          </w:tcPr>
          <w:p w14:paraId="6F8B493C">
            <w:pPr>
              <w:widowControl/>
              <w:spacing w:line="220" w:lineRule="atLeast"/>
              <w:jc w:val="center"/>
              <w:rPr>
                <w:rFonts w:hint="eastAsia" w:ascii="仿宋" w:hAnsi="仿宋" w:eastAsia="仿宋" w:cs="仿宋"/>
                <w:bCs/>
              </w:rPr>
            </w:pPr>
            <w:r>
              <w:rPr>
                <w:rFonts w:hint="eastAsia" w:ascii="仿宋" w:hAnsi="仿宋" w:eastAsia="仿宋" w:cs="仿宋"/>
                <w:bCs/>
              </w:rPr>
              <w:t>布展人工</w:t>
            </w:r>
          </w:p>
        </w:tc>
        <w:tc>
          <w:tcPr>
            <w:tcW w:w="4365" w:type="dxa"/>
            <w:noWrap w:val="0"/>
            <w:vAlign w:val="center"/>
          </w:tcPr>
          <w:p w14:paraId="553827EB">
            <w:pPr>
              <w:widowControl/>
              <w:spacing w:line="220" w:lineRule="atLeast"/>
              <w:jc w:val="center"/>
              <w:rPr>
                <w:rFonts w:hint="eastAsia" w:ascii="仿宋" w:hAnsi="仿宋" w:eastAsia="仿宋" w:cs="仿宋"/>
                <w:bCs/>
              </w:rPr>
            </w:pPr>
            <w:r>
              <w:rPr>
                <w:rFonts w:hint="eastAsia" w:ascii="仿宋" w:hAnsi="仿宋" w:eastAsia="仿宋" w:cs="仿宋"/>
                <w:bCs/>
              </w:rPr>
              <w:t>每场布展专业布展人员不少于2人、其他人员若干</w:t>
            </w:r>
          </w:p>
        </w:tc>
        <w:tc>
          <w:tcPr>
            <w:tcW w:w="885" w:type="dxa"/>
            <w:noWrap w:val="0"/>
            <w:vAlign w:val="center"/>
          </w:tcPr>
          <w:p w14:paraId="1F429CF2">
            <w:pPr>
              <w:widowControl/>
              <w:spacing w:line="220" w:lineRule="atLeast"/>
              <w:jc w:val="center"/>
              <w:rPr>
                <w:rFonts w:hint="eastAsia" w:ascii="仿宋" w:hAnsi="仿宋" w:eastAsia="仿宋" w:cs="仿宋"/>
                <w:bCs/>
              </w:rPr>
            </w:pPr>
            <w:r>
              <w:rPr>
                <w:rFonts w:hint="eastAsia" w:ascii="仿宋" w:hAnsi="仿宋" w:eastAsia="仿宋" w:cs="仿宋"/>
                <w:bCs/>
              </w:rPr>
              <w:t>每场不少于6人</w:t>
            </w:r>
          </w:p>
        </w:tc>
        <w:tc>
          <w:tcPr>
            <w:tcW w:w="1035" w:type="dxa"/>
            <w:noWrap w:val="0"/>
            <w:vAlign w:val="center"/>
          </w:tcPr>
          <w:p w14:paraId="2D1CCC08">
            <w:pPr>
              <w:widowControl/>
              <w:spacing w:line="220" w:lineRule="atLeast"/>
              <w:jc w:val="center"/>
              <w:rPr>
                <w:rFonts w:hint="eastAsia" w:ascii="仿宋" w:hAnsi="仿宋" w:eastAsia="仿宋" w:cs="仿宋"/>
                <w:bCs/>
              </w:rPr>
            </w:pPr>
          </w:p>
        </w:tc>
      </w:tr>
      <w:tr w14:paraId="3AA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60" w:type="dxa"/>
            <w:vMerge w:val="restart"/>
            <w:noWrap w:val="0"/>
            <w:vAlign w:val="center"/>
          </w:tcPr>
          <w:p w14:paraId="25235119">
            <w:pPr>
              <w:widowControl/>
              <w:spacing w:line="220" w:lineRule="atLeast"/>
              <w:jc w:val="center"/>
              <w:rPr>
                <w:rFonts w:hint="eastAsia" w:ascii="仿宋" w:hAnsi="仿宋" w:eastAsia="仿宋" w:cs="仿宋"/>
                <w:bCs/>
              </w:rPr>
            </w:pPr>
            <w:r>
              <w:rPr>
                <w:rFonts w:hint="eastAsia" w:ascii="仿宋" w:hAnsi="仿宋" w:eastAsia="仿宋" w:cs="仿宋"/>
                <w:bCs/>
              </w:rPr>
              <w:t>2</w:t>
            </w:r>
          </w:p>
        </w:tc>
        <w:tc>
          <w:tcPr>
            <w:tcW w:w="1305" w:type="dxa"/>
            <w:noWrap w:val="0"/>
            <w:vAlign w:val="center"/>
          </w:tcPr>
          <w:p w14:paraId="645EF64A">
            <w:pPr>
              <w:widowControl/>
              <w:spacing w:line="220" w:lineRule="atLeast"/>
              <w:jc w:val="center"/>
              <w:rPr>
                <w:rFonts w:hint="eastAsia" w:ascii="仿宋" w:hAnsi="仿宋" w:eastAsia="仿宋" w:cs="仿宋"/>
                <w:bCs/>
              </w:rPr>
            </w:pPr>
            <w:r>
              <w:rPr>
                <w:rFonts w:hint="eastAsia" w:ascii="仿宋" w:hAnsi="仿宋" w:eastAsia="仿宋" w:cs="仿宋"/>
                <w:bCs/>
              </w:rPr>
              <w:t>证书制作</w:t>
            </w:r>
          </w:p>
        </w:tc>
        <w:tc>
          <w:tcPr>
            <w:tcW w:w="4365" w:type="dxa"/>
            <w:noWrap w:val="0"/>
            <w:vAlign w:val="center"/>
          </w:tcPr>
          <w:p w14:paraId="3DCDE6B7">
            <w:pPr>
              <w:widowControl/>
              <w:spacing w:line="220" w:lineRule="atLeast"/>
              <w:jc w:val="center"/>
              <w:rPr>
                <w:rFonts w:hint="eastAsia" w:ascii="仿宋" w:hAnsi="仿宋" w:eastAsia="仿宋" w:cs="仿宋"/>
                <w:bCs/>
              </w:rPr>
            </w:pPr>
            <w:r>
              <w:rPr>
                <w:rFonts w:hint="eastAsia" w:ascii="仿宋" w:hAnsi="仿宋" w:eastAsia="仿宋" w:cs="仿宋"/>
                <w:bCs/>
              </w:rPr>
              <w:t>一、二、三等奖、优秀奖、组织奖、辅导奖证书，按主承办要求设计证书内容格式和尺寸；磨砂纹理300克铜版纸</w:t>
            </w:r>
          </w:p>
        </w:tc>
        <w:tc>
          <w:tcPr>
            <w:tcW w:w="885" w:type="dxa"/>
            <w:noWrap w:val="0"/>
            <w:vAlign w:val="center"/>
          </w:tcPr>
          <w:p w14:paraId="2D832A0A">
            <w:pPr>
              <w:widowControl/>
              <w:spacing w:line="220" w:lineRule="atLeast"/>
              <w:jc w:val="center"/>
              <w:rPr>
                <w:rFonts w:hint="eastAsia" w:ascii="仿宋" w:hAnsi="仿宋" w:eastAsia="仿宋" w:cs="仿宋"/>
                <w:bCs/>
              </w:rPr>
            </w:pPr>
            <w:r>
              <w:rPr>
                <w:rFonts w:hint="eastAsia" w:ascii="仿宋" w:hAnsi="仿宋" w:eastAsia="仿宋" w:cs="仿宋"/>
                <w:bCs/>
              </w:rPr>
              <w:t>不少于1500份</w:t>
            </w:r>
          </w:p>
        </w:tc>
        <w:tc>
          <w:tcPr>
            <w:tcW w:w="1035" w:type="dxa"/>
            <w:noWrap w:val="0"/>
            <w:vAlign w:val="center"/>
          </w:tcPr>
          <w:p w14:paraId="21753F52">
            <w:pPr>
              <w:widowControl/>
              <w:spacing w:line="220" w:lineRule="atLeast"/>
              <w:jc w:val="center"/>
              <w:rPr>
                <w:rFonts w:hint="eastAsia" w:ascii="仿宋" w:hAnsi="仿宋" w:eastAsia="仿宋" w:cs="仿宋"/>
                <w:bCs/>
              </w:rPr>
            </w:pPr>
          </w:p>
        </w:tc>
      </w:tr>
      <w:tr w14:paraId="111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60" w:type="dxa"/>
            <w:vMerge w:val="continue"/>
            <w:noWrap w:val="0"/>
            <w:vAlign w:val="center"/>
          </w:tcPr>
          <w:p w14:paraId="1FA207C7">
            <w:pPr>
              <w:widowControl/>
              <w:spacing w:line="220" w:lineRule="atLeast"/>
              <w:jc w:val="center"/>
              <w:rPr>
                <w:rFonts w:hint="eastAsia" w:ascii="仿宋" w:hAnsi="仿宋" w:eastAsia="仿宋" w:cs="仿宋"/>
                <w:bCs/>
              </w:rPr>
            </w:pPr>
          </w:p>
        </w:tc>
        <w:tc>
          <w:tcPr>
            <w:tcW w:w="1305" w:type="dxa"/>
            <w:noWrap w:val="0"/>
            <w:vAlign w:val="center"/>
          </w:tcPr>
          <w:p w14:paraId="38ED7323">
            <w:pPr>
              <w:widowControl/>
              <w:spacing w:line="220" w:lineRule="atLeast"/>
              <w:jc w:val="center"/>
              <w:rPr>
                <w:rFonts w:hint="eastAsia" w:ascii="仿宋" w:hAnsi="仿宋" w:eastAsia="仿宋" w:cs="仿宋"/>
                <w:bCs/>
              </w:rPr>
            </w:pPr>
            <w:r>
              <w:rPr>
                <w:rFonts w:hint="eastAsia" w:ascii="仿宋" w:hAnsi="仿宋" w:eastAsia="仿宋" w:cs="仿宋"/>
                <w:bCs/>
              </w:rPr>
              <w:t>评委邀请及评委费</w:t>
            </w:r>
          </w:p>
        </w:tc>
        <w:tc>
          <w:tcPr>
            <w:tcW w:w="4365" w:type="dxa"/>
            <w:noWrap w:val="0"/>
            <w:vAlign w:val="center"/>
          </w:tcPr>
          <w:p w14:paraId="2996C72D">
            <w:pPr>
              <w:widowControl/>
              <w:spacing w:line="220" w:lineRule="atLeast"/>
              <w:jc w:val="center"/>
              <w:rPr>
                <w:rFonts w:hint="eastAsia" w:ascii="仿宋" w:hAnsi="仿宋" w:eastAsia="仿宋" w:cs="仿宋"/>
                <w:bCs/>
              </w:rPr>
            </w:pPr>
            <w:r>
              <w:rPr>
                <w:rFonts w:hint="eastAsia" w:ascii="仿宋" w:hAnsi="仿宋" w:eastAsia="仿宋" w:cs="仿宋"/>
                <w:bCs/>
              </w:rPr>
              <w:t>省级行业专家，由主承办方统一审核资格。</w:t>
            </w:r>
          </w:p>
        </w:tc>
        <w:tc>
          <w:tcPr>
            <w:tcW w:w="885" w:type="dxa"/>
            <w:noWrap w:val="0"/>
            <w:vAlign w:val="center"/>
          </w:tcPr>
          <w:p w14:paraId="2E81BC74">
            <w:pPr>
              <w:widowControl/>
              <w:spacing w:line="220" w:lineRule="atLeast"/>
              <w:jc w:val="center"/>
              <w:rPr>
                <w:rFonts w:hint="eastAsia" w:ascii="仿宋" w:hAnsi="仿宋" w:eastAsia="仿宋" w:cs="仿宋"/>
                <w:bCs/>
              </w:rPr>
            </w:pPr>
            <w:r>
              <w:rPr>
                <w:rFonts w:hint="eastAsia" w:ascii="仿宋" w:hAnsi="仿宋" w:eastAsia="仿宋" w:cs="仿宋"/>
                <w:bCs/>
              </w:rPr>
              <w:t>5人</w:t>
            </w:r>
          </w:p>
        </w:tc>
        <w:tc>
          <w:tcPr>
            <w:tcW w:w="1035" w:type="dxa"/>
            <w:noWrap w:val="0"/>
            <w:vAlign w:val="center"/>
          </w:tcPr>
          <w:p w14:paraId="060958F4">
            <w:pPr>
              <w:widowControl/>
              <w:spacing w:line="220" w:lineRule="atLeast"/>
              <w:jc w:val="center"/>
              <w:rPr>
                <w:rFonts w:hint="eastAsia" w:ascii="仿宋" w:hAnsi="仿宋" w:eastAsia="仿宋" w:cs="仿宋"/>
                <w:bCs/>
              </w:rPr>
            </w:pPr>
          </w:p>
        </w:tc>
      </w:tr>
      <w:tr w14:paraId="386E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60" w:type="dxa"/>
            <w:noWrap w:val="0"/>
            <w:vAlign w:val="center"/>
          </w:tcPr>
          <w:p w14:paraId="1D2140EE">
            <w:pPr>
              <w:widowControl/>
              <w:spacing w:line="220" w:lineRule="atLeast"/>
              <w:jc w:val="center"/>
              <w:rPr>
                <w:rFonts w:hint="eastAsia" w:ascii="仿宋" w:hAnsi="仿宋" w:eastAsia="仿宋" w:cs="仿宋"/>
                <w:bCs/>
              </w:rPr>
            </w:pPr>
            <w:r>
              <w:rPr>
                <w:rFonts w:hint="eastAsia" w:ascii="仿宋" w:hAnsi="仿宋" w:eastAsia="仿宋" w:cs="仿宋"/>
                <w:bCs/>
              </w:rPr>
              <w:t>3</w:t>
            </w:r>
          </w:p>
        </w:tc>
        <w:tc>
          <w:tcPr>
            <w:tcW w:w="1305" w:type="dxa"/>
            <w:noWrap w:val="0"/>
            <w:vAlign w:val="center"/>
          </w:tcPr>
          <w:p w14:paraId="0060A968">
            <w:pPr>
              <w:widowControl/>
              <w:spacing w:line="220" w:lineRule="atLeast"/>
              <w:jc w:val="center"/>
              <w:rPr>
                <w:rFonts w:hint="eastAsia" w:ascii="仿宋" w:hAnsi="仿宋" w:eastAsia="仿宋" w:cs="仿宋"/>
                <w:bCs/>
              </w:rPr>
            </w:pPr>
            <w:r>
              <w:rPr>
                <w:rFonts w:hint="eastAsia" w:ascii="仿宋" w:hAnsi="仿宋" w:eastAsia="仿宋" w:cs="仿宋"/>
                <w:bCs/>
              </w:rPr>
              <w:t>公共教育活动</w:t>
            </w:r>
          </w:p>
        </w:tc>
        <w:tc>
          <w:tcPr>
            <w:tcW w:w="4365" w:type="dxa"/>
            <w:noWrap w:val="0"/>
            <w:vAlign w:val="center"/>
          </w:tcPr>
          <w:p w14:paraId="1AECF132">
            <w:pPr>
              <w:widowControl/>
              <w:spacing w:line="220" w:lineRule="atLeast"/>
              <w:jc w:val="center"/>
              <w:rPr>
                <w:rFonts w:hint="eastAsia" w:ascii="仿宋" w:hAnsi="仿宋" w:eastAsia="仿宋" w:cs="仿宋"/>
                <w:bCs/>
              </w:rPr>
            </w:pPr>
            <w:r>
              <w:rPr>
                <w:rFonts w:hint="eastAsia" w:ascii="仿宋" w:hAnsi="仿宋" w:eastAsia="仿宋" w:cs="仿宋"/>
                <w:bCs/>
              </w:rPr>
              <w:t>含两场共50人以内活动材料采购、教师专家邀请、短视频拍摄制作发布（成片不少于60秒）等</w:t>
            </w:r>
          </w:p>
        </w:tc>
        <w:tc>
          <w:tcPr>
            <w:tcW w:w="885" w:type="dxa"/>
            <w:noWrap w:val="0"/>
            <w:vAlign w:val="center"/>
          </w:tcPr>
          <w:p w14:paraId="21DD9D56">
            <w:pPr>
              <w:widowControl/>
              <w:spacing w:line="220" w:lineRule="atLeast"/>
              <w:jc w:val="center"/>
              <w:rPr>
                <w:rFonts w:hint="eastAsia" w:ascii="仿宋" w:hAnsi="仿宋" w:eastAsia="仿宋" w:cs="仿宋"/>
                <w:bCs/>
              </w:rPr>
            </w:pPr>
            <w:r>
              <w:rPr>
                <w:rFonts w:hint="eastAsia" w:ascii="仿宋" w:hAnsi="仿宋" w:eastAsia="仿宋" w:cs="仿宋"/>
                <w:bCs/>
              </w:rPr>
              <w:t>2场次</w:t>
            </w:r>
          </w:p>
        </w:tc>
        <w:tc>
          <w:tcPr>
            <w:tcW w:w="1035" w:type="dxa"/>
            <w:noWrap w:val="0"/>
            <w:vAlign w:val="center"/>
          </w:tcPr>
          <w:p w14:paraId="00FCE735">
            <w:pPr>
              <w:widowControl/>
              <w:spacing w:line="220" w:lineRule="atLeast"/>
              <w:jc w:val="center"/>
              <w:rPr>
                <w:rFonts w:hint="eastAsia" w:ascii="仿宋" w:hAnsi="仿宋" w:eastAsia="仿宋" w:cs="仿宋"/>
                <w:bCs/>
              </w:rPr>
            </w:pPr>
          </w:p>
        </w:tc>
      </w:tr>
      <w:tr w14:paraId="40D9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60" w:type="dxa"/>
            <w:noWrap w:val="0"/>
            <w:vAlign w:val="center"/>
          </w:tcPr>
          <w:p w14:paraId="00FEDDE3">
            <w:pPr>
              <w:widowControl/>
              <w:spacing w:line="220" w:lineRule="atLeast"/>
              <w:jc w:val="center"/>
              <w:rPr>
                <w:rFonts w:hint="eastAsia" w:ascii="仿宋" w:hAnsi="仿宋" w:eastAsia="仿宋" w:cs="仿宋"/>
                <w:bCs/>
              </w:rPr>
            </w:pPr>
            <w:r>
              <w:rPr>
                <w:rFonts w:hint="eastAsia" w:ascii="仿宋" w:hAnsi="仿宋" w:eastAsia="仿宋" w:cs="仿宋"/>
                <w:bCs/>
              </w:rPr>
              <w:t>4</w:t>
            </w:r>
          </w:p>
        </w:tc>
        <w:tc>
          <w:tcPr>
            <w:tcW w:w="1305" w:type="dxa"/>
            <w:noWrap w:val="0"/>
            <w:vAlign w:val="center"/>
          </w:tcPr>
          <w:p w14:paraId="41CA1752">
            <w:pPr>
              <w:widowControl/>
              <w:spacing w:line="220" w:lineRule="atLeast"/>
              <w:jc w:val="center"/>
              <w:rPr>
                <w:rFonts w:hint="eastAsia" w:ascii="仿宋" w:hAnsi="仿宋" w:eastAsia="仿宋" w:cs="仿宋"/>
                <w:bCs/>
              </w:rPr>
            </w:pPr>
            <w:r>
              <w:rPr>
                <w:rFonts w:hint="eastAsia" w:ascii="仿宋" w:hAnsi="仿宋" w:eastAsia="仿宋" w:cs="仿宋"/>
                <w:bCs/>
              </w:rPr>
              <w:t>宣传推广</w:t>
            </w:r>
          </w:p>
        </w:tc>
        <w:tc>
          <w:tcPr>
            <w:tcW w:w="4365" w:type="dxa"/>
            <w:noWrap w:val="0"/>
            <w:vAlign w:val="center"/>
          </w:tcPr>
          <w:p w14:paraId="2A03263E">
            <w:pPr>
              <w:widowControl/>
              <w:spacing w:line="220" w:lineRule="atLeast"/>
              <w:jc w:val="center"/>
              <w:rPr>
                <w:rFonts w:hint="eastAsia" w:ascii="仿宋" w:hAnsi="仿宋" w:eastAsia="仿宋" w:cs="仿宋"/>
                <w:bCs/>
              </w:rPr>
            </w:pPr>
            <w:r>
              <w:rPr>
                <w:rFonts w:hint="eastAsia" w:ascii="仿宋" w:hAnsi="仿宋" w:eastAsia="仿宋" w:cs="仿宋"/>
                <w:bCs/>
              </w:rPr>
              <w:t>含2条以上短视频拍摄制作发布（成片不少于60秒）、在3家省市级媒体报道发布、线上展览的所有作品拍摄精修等</w:t>
            </w:r>
          </w:p>
        </w:tc>
        <w:tc>
          <w:tcPr>
            <w:tcW w:w="885" w:type="dxa"/>
            <w:noWrap w:val="0"/>
            <w:vAlign w:val="center"/>
          </w:tcPr>
          <w:p w14:paraId="3C090F4F">
            <w:pPr>
              <w:widowControl/>
              <w:spacing w:line="220" w:lineRule="atLeast"/>
              <w:jc w:val="center"/>
              <w:rPr>
                <w:rFonts w:hint="eastAsia" w:ascii="仿宋" w:hAnsi="仿宋" w:eastAsia="仿宋" w:cs="仿宋"/>
                <w:bCs/>
              </w:rPr>
            </w:pPr>
            <w:r>
              <w:rPr>
                <w:rFonts w:hint="eastAsia" w:ascii="仿宋" w:hAnsi="仿宋" w:eastAsia="仿宋" w:cs="仿宋"/>
                <w:bCs/>
              </w:rPr>
              <w:t>1项</w:t>
            </w:r>
          </w:p>
        </w:tc>
        <w:tc>
          <w:tcPr>
            <w:tcW w:w="1035" w:type="dxa"/>
            <w:noWrap w:val="0"/>
            <w:vAlign w:val="center"/>
          </w:tcPr>
          <w:p w14:paraId="3C140148">
            <w:pPr>
              <w:widowControl/>
              <w:spacing w:line="220" w:lineRule="atLeast"/>
              <w:jc w:val="center"/>
              <w:rPr>
                <w:rFonts w:hint="eastAsia" w:ascii="仿宋" w:hAnsi="仿宋" w:eastAsia="仿宋" w:cs="仿宋"/>
                <w:bCs/>
              </w:rPr>
            </w:pPr>
          </w:p>
        </w:tc>
      </w:tr>
      <w:tr w14:paraId="789F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60" w:type="dxa"/>
            <w:noWrap w:val="0"/>
            <w:vAlign w:val="center"/>
          </w:tcPr>
          <w:p w14:paraId="5B7FCE49">
            <w:pPr>
              <w:widowControl/>
              <w:spacing w:line="220" w:lineRule="atLeast"/>
              <w:jc w:val="center"/>
              <w:rPr>
                <w:rFonts w:hint="eastAsia" w:ascii="仿宋" w:hAnsi="仿宋" w:eastAsia="仿宋" w:cs="仿宋"/>
                <w:bCs/>
              </w:rPr>
            </w:pPr>
            <w:r>
              <w:rPr>
                <w:rFonts w:hint="eastAsia" w:ascii="仿宋" w:hAnsi="仿宋" w:eastAsia="仿宋" w:cs="仿宋"/>
                <w:bCs/>
              </w:rPr>
              <w:t>5</w:t>
            </w:r>
          </w:p>
        </w:tc>
        <w:tc>
          <w:tcPr>
            <w:tcW w:w="1305" w:type="dxa"/>
            <w:noWrap w:val="0"/>
            <w:vAlign w:val="center"/>
          </w:tcPr>
          <w:p w14:paraId="3534A387">
            <w:pPr>
              <w:widowControl/>
              <w:spacing w:line="220" w:lineRule="atLeast"/>
              <w:jc w:val="center"/>
              <w:rPr>
                <w:rFonts w:hint="eastAsia" w:ascii="仿宋" w:hAnsi="仿宋" w:eastAsia="仿宋" w:cs="仿宋"/>
                <w:bCs/>
              </w:rPr>
            </w:pPr>
            <w:r>
              <w:rPr>
                <w:rFonts w:hint="eastAsia" w:ascii="仿宋" w:hAnsi="仿宋" w:eastAsia="仿宋" w:cs="仿宋"/>
                <w:bCs/>
              </w:rPr>
              <w:t>画架、画框采买等物料费</w:t>
            </w:r>
          </w:p>
        </w:tc>
        <w:tc>
          <w:tcPr>
            <w:tcW w:w="4365" w:type="dxa"/>
            <w:noWrap w:val="0"/>
            <w:vAlign w:val="center"/>
          </w:tcPr>
          <w:p w14:paraId="09E3B8CC">
            <w:pPr>
              <w:keepNext w:val="0"/>
              <w:keepLines w:val="0"/>
              <w:pageBreakBefore w:val="0"/>
              <w:widowControl/>
              <w:kinsoku/>
              <w:wordWrap/>
              <w:overflowPunct/>
              <w:topLinePunct w:val="0"/>
              <w:autoSpaceDE/>
              <w:autoSpaceDN/>
              <w:bidi w:val="0"/>
              <w:adjustRightInd/>
              <w:snapToGrid/>
              <w:spacing w:line="220" w:lineRule="atLeast"/>
              <w:jc w:val="center"/>
              <w:rPr>
                <w:rFonts w:hint="eastAsia" w:ascii="仿宋" w:hAnsi="仿宋" w:eastAsia="仿宋" w:cs="仿宋"/>
                <w:bCs/>
              </w:rPr>
            </w:pPr>
            <w:r>
              <w:rPr>
                <w:rFonts w:hint="eastAsia" w:ascii="仿宋" w:hAnsi="仿宋" w:eastAsia="仿宋" w:cs="仿宋"/>
                <w:b w:val="0"/>
                <w:bCs/>
                <w:color w:val="auto"/>
                <w:sz w:val="21"/>
                <w:szCs w:val="21"/>
                <w:lang w:val="en-US" w:eastAsia="zh-CN"/>
              </w:rPr>
              <w:t>四开实木画框和高配铝合金加固手摇画架一套</w:t>
            </w:r>
          </w:p>
        </w:tc>
        <w:tc>
          <w:tcPr>
            <w:tcW w:w="885" w:type="dxa"/>
            <w:noWrap w:val="0"/>
            <w:vAlign w:val="center"/>
          </w:tcPr>
          <w:p w14:paraId="58F01896">
            <w:pPr>
              <w:keepNext w:val="0"/>
              <w:keepLines w:val="0"/>
              <w:pageBreakBefore w:val="0"/>
              <w:widowControl/>
              <w:kinsoku/>
              <w:wordWrap/>
              <w:overflowPunct/>
              <w:topLinePunct w:val="0"/>
              <w:autoSpaceDE/>
              <w:autoSpaceDN/>
              <w:bidi w:val="0"/>
              <w:adjustRightInd/>
              <w:snapToGrid/>
              <w:spacing w:line="220" w:lineRule="atLeast"/>
              <w:jc w:val="center"/>
              <w:rPr>
                <w:rFonts w:hint="eastAsia" w:ascii="仿宋" w:hAnsi="仿宋" w:eastAsia="仿宋" w:cs="仿宋"/>
                <w:bCs/>
              </w:rPr>
            </w:pPr>
            <w:r>
              <w:rPr>
                <w:rFonts w:hint="eastAsia" w:ascii="仿宋" w:hAnsi="仿宋" w:eastAsia="仿宋" w:cs="仿宋"/>
                <w:b w:val="0"/>
                <w:bCs/>
                <w:color w:val="auto"/>
                <w:sz w:val="21"/>
                <w:szCs w:val="21"/>
                <w:lang w:val="en-US" w:eastAsia="zh-CN"/>
              </w:rPr>
              <w:t>不少于60套</w:t>
            </w:r>
          </w:p>
        </w:tc>
        <w:tc>
          <w:tcPr>
            <w:tcW w:w="1035" w:type="dxa"/>
            <w:noWrap w:val="0"/>
            <w:vAlign w:val="center"/>
          </w:tcPr>
          <w:p w14:paraId="7DA818A2">
            <w:pPr>
              <w:widowControl/>
              <w:spacing w:line="220" w:lineRule="atLeast"/>
              <w:jc w:val="center"/>
              <w:rPr>
                <w:rFonts w:hint="eastAsia" w:ascii="仿宋" w:hAnsi="仿宋" w:eastAsia="仿宋" w:cs="仿宋"/>
                <w:bCs/>
              </w:rPr>
            </w:pPr>
          </w:p>
        </w:tc>
      </w:tr>
    </w:tbl>
    <w:p w14:paraId="6CCA25A7">
      <w:pPr>
        <w:spacing w:line="420" w:lineRule="exact"/>
        <w:ind w:firstLine="700" w:firstLineChars="250"/>
        <w:rPr>
          <w:rFonts w:ascii="仿宋" w:hAnsi="仿宋" w:eastAsia="仿宋" w:cs="宋体"/>
          <w:bCs/>
          <w:sz w:val="28"/>
          <w:szCs w:val="28"/>
        </w:rPr>
      </w:pPr>
    </w:p>
    <w:p w14:paraId="1584F329">
      <w:pPr>
        <w:pStyle w:val="4"/>
        <w:spacing w:line="340" w:lineRule="exact"/>
        <w:ind w:left="0" w:leftChars="0" w:firstLine="560"/>
        <w:rPr>
          <w:rFonts w:ascii="仿宋" w:hAnsi="仿宋" w:eastAsia="仿宋" w:cs="宋体"/>
          <w:sz w:val="28"/>
          <w:szCs w:val="28"/>
        </w:rPr>
      </w:pPr>
      <w:r>
        <w:rPr>
          <w:rFonts w:hint="eastAsia" w:ascii="黑体" w:hAnsi="黑体" w:eastAsia="黑体" w:cs="宋体"/>
          <w:bCs/>
          <w:sz w:val="28"/>
          <w:szCs w:val="28"/>
        </w:rPr>
        <w:t>四、服务期限：</w:t>
      </w:r>
      <w:r>
        <w:rPr>
          <w:rFonts w:hint="eastAsia" w:ascii="仿宋" w:hAnsi="仿宋" w:eastAsia="仿宋" w:cs="宋体"/>
          <w:sz w:val="28"/>
          <w:szCs w:val="28"/>
        </w:rPr>
        <w:t>自合同签订之日起至展览结束</w:t>
      </w:r>
    </w:p>
    <w:p w14:paraId="135894F8">
      <w:pPr>
        <w:pStyle w:val="4"/>
        <w:spacing w:line="340" w:lineRule="exact"/>
        <w:ind w:left="0" w:leftChars="0" w:firstLine="560"/>
        <w:rPr>
          <w:rFonts w:ascii="黑体" w:hAnsi="黑体" w:eastAsia="黑体" w:cs="宋体"/>
          <w:bCs/>
          <w:sz w:val="28"/>
          <w:szCs w:val="28"/>
        </w:rPr>
      </w:pPr>
      <w:r>
        <w:rPr>
          <w:rFonts w:hint="eastAsia" w:ascii="黑体" w:hAnsi="黑体" w:eastAsia="黑体" w:cs="宋体"/>
          <w:bCs/>
          <w:sz w:val="28"/>
          <w:szCs w:val="28"/>
        </w:rPr>
        <w:t>五、验收要求</w:t>
      </w:r>
    </w:p>
    <w:p w14:paraId="128026E5">
      <w:pPr>
        <w:widowControl/>
        <w:spacing w:line="340" w:lineRule="exact"/>
        <w:ind w:firstLine="555"/>
        <w:rPr>
          <w:rFonts w:ascii="仿宋" w:hAnsi="仿宋" w:eastAsia="仿宋" w:cs="宋体"/>
          <w:bCs/>
          <w:sz w:val="28"/>
          <w:szCs w:val="28"/>
        </w:rPr>
      </w:pPr>
      <w:r>
        <w:rPr>
          <w:rFonts w:hint="eastAsia" w:ascii="仿宋" w:hAnsi="仿宋" w:eastAsia="仿宋" w:cs="宋体"/>
          <w:bCs/>
          <w:sz w:val="28"/>
          <w:szCs w:val="28"/>
        </w:rPr>
        <w:t>（一）质量标准</w:t>
      </w:r>
    </w:p>
    <w:p w14:paraId="7F044C7C">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卖方保证提供的服务质量应符合中华人民共和国相关标准及相应的技术规范、本次采购相关文件中的全部相关要求及卖方相关服务标准及相应的技术规范中之较高者。</w:t>
      </w:r>
    </w:p>
    <w:p w14:paraId="4F11B110">
      <w:pPr>
        <w:widowControl/>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（二）验收组织</w:t>
      </w:r>
    </w:p>
    <w:p w14:paraId="417B6A43">
      <w:pPr>
        <w:widowControl/>
        <w:spacing w:line="340" w:lineRule="exact"/>
        <w:rPr>
          <w:rFonts w:ascii="仿宋" w:hAnsi="仿宋" w:eastAsia="仿宋" w:cs="宋体"/>
          <w:bCs/>
          <w:color w:val="FF0000"/>
          <w:sz w:val="28"/>
          <w:szCs w:val="28"/>
        </w:rPr>
      </w:pPr>
      <w:r>
        <w:rPr>
          <w:rFonts w:hint="eastAsia" w:ascii="仿宋" w:hAnsi="仿宋" w:eastAsia="仿宋" w:cs="宋体"/>
          <w:bCs/>
          <w:sz w:val="28"/>
          <w:szCs w:val="28"/>
        </w:rPr>
        <w:t xml:space="preserve">   </w:t>
      </w:r>
      <w:r>
        <w:rPr>
          <w:rFonts w:hint="eastAsia" w:ascii="仿宋" w:hAnsi="仿宋" w:eastAsia="仿宋" w:cs="宋体"/>
          <w:bCs/>
          <w:color w:val="FF0000"/>
          <w:sz w:val="28"/>
          <w:szCs w:val="28"/>
        </w:rPr>
        <w:t xml:space="preserve"> </w:t>
      </w:r>
      <w:r>
        <w:rPr>
          <w:rFonts w:hint="eastAsia" w:ascii="仿宋" w:hAnsi="仿宋" w:eastAsia="仿宋" w:cs="宋体"/>
          <w:bCs/>
          <w:sz w:val="28"/>
          <w:szCs w:val="28"/>
        </w:rPr>
        <w:t>买方负责组织验收工作,成立验收小组，验收合格后出具验收报告。</w:t>
      </w:r>
    </w:p>
    <w:p w14:paraId="643ED39A">
      <w:pPr>
        <w:spacing w:line="340" w:lineRule="exact"/>
        <w:ind w:firstLine="560" w:firstLineChars="200"/>
        <w:rPr>
          <w:rFonts w:ascii="仿宋" w:hAnsi="仿宋" w:eastAsia="仿宋" w:cs="宋体"/>
          <w:b/>
          <w:bCs/>
          <w:sz w:val="28"/>
          <w:szCs w:val="28"/>
          <w:u w:val="single"/>
        </w:rPr>
      </w:pPr>
      <w:r>
        <w:rPr>
          <w:rFonts w:hint="eastAsia" w:ascii="黑体" w:hAnsi="黑体" w:eastAsia="黑体" w:cs="宋体"/>
          <w:bCs/>
          <w:sz w:val="28"/>
          <w:szCs w:val="28"/>
        </w:rPr>
        <w:t>六、付款方式：</w:t>
      </w:r>
      <w:r>
        <w:rPr>
          <w:rFonts w:hint="eastAsia" w:ascii="仿宋" w:hAnsi="仿宋" w:eastAsia="仿宋" w:cs="宋体"/>
          <w:bCs/>
          <w:sz w:val="28"/>
          <w:szCs w:val="28"/>
        </w:rPr>
        <w:t>合同签订后10日内，成交供应商向买方提供本项目活动计划，经买方认可后，支付合同金额的60%，余款待全部服务验收合格后一次性付清，支付</w:t>
      </w:r>
      <w:r>
        <w:rPr>
          <w:rFonts w:ascii="仿宋" w:hAnsi="仿宋" w:eastAsia="仿宋" w:cs="宋体"/>
          <w:bCs/>
          <w:sz w:val="28"/>
          <w:szCs w:val="28"/>
        </w:rPr>
        <w:t>前</w:t>
      </w:r>
      <w:r>
        <w:rPr>
          <w:rFonts w:hint="eastAsia" w:ascii="仿宋" w:hAnsi="仿宋" w:eastAsia="仿宋" w:cs="宋体"/>
          <w:bCs/>
          <w:sz w:val="28"/>
          <w:szCs w:val="28"/>
        </w:rPr>
        <w:t>成交供应商</w:t>
      </w:r>
      <w:r>
        <w:rPr>
          <w:rFonts w:ascii="仿宋" w:hAnsi="仿宋" w:eastAsia="仿宋" w:cs="宋体"/>
          <w:bCs/>
          <w:sz w:val="28"/>
          <w:szCs w:val="28"/>
        </w:rPr>
        <w:t>提供增值税发票</w:t>
      </w:r>
      <w:r>
        <w:rPr>
          <w:rFonts w:hint="eastAsia" w:ascii="仿宋" w:hAnsi="仿宋" w:eastAsia="仿宋" w:cs="宋体"/>
          <w:bCs/>
          <w:sz w:val="28"/>
          <w:szCs w:val="28"/>
        </w:rPr>
        <w:t>。</w:t>
      </w:r>
    </w:p>
    <w:p w14:paraId="350D36CC">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七、履约保证金</w:t>
      </w:r>
    </w:p>
    <w:p w14:paraId="252ECC7A">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本项目不收取履约保证金</w:t>
      </w:r>
    </w:p>
    <w:p w14:paraId="465E7C71">
      <w:pPr>
        <w:spacing w:line="34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八、违约责任</w:t>
      </w:r>
    </w:p>
    <w:p w14:paraId="145D79CF">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1、</w:t>
      </w:r>
      <w:r>
        <w:rPr>
          <w:rFonts w:ascii="仿宋" w:hAnsi="仿宋" w:eastAsia="仿宋" w:cs="宋体"/>
          <w:bCs/>
          <w:sz w:val="28"/>
          <w:szCs w:val="28"/>
        </w:rPr>
        <w:t>除不可抗力外，如果乙方没有按照本合同约定的期限</w:t>
      </w:r>
      <w:r>
        <w:rPr>
          <w:rFonts w:hint="eastAsia" w:ascii="仿宋" w:hAnsi="仿宋" w:eastAsia="仿宋" w:cs="宋体"/>
          <w:bCs/>
          <w:sz w:val="28"/>
          <w:szCs w:val="28"/>
        </w:rPr>
        <w:t>、</w:t>
      </w:r>
      <w:r>
        <w:rPr>
          <w:rFonts w:ascii="仿宋" w:hAnsi="仿宋" w:eastAsia="仿宋" w:cs="宋体"/>
          <w:bCs/>
          <w:sz w:val="28"/>
          <w:szCs w:val="28"/>
        </w:rPr>
        <w:t>地点和方式</w:t>
      </w:r>
      <w:r>
        <w:rPr>
          <w:rFonts w:hint="eastAsia" w:ascii="仿宋" w:hAnsi="仿宋" w:eastAsia="仿宋" w:cs="宋体"/>
          <w:bCs/>
          <w:sz w:val="28"/>
          <w:szCs w:val="28"/>
        </w:rPr>
        <w:t>履行</w:t>
      </w:r>
      <w:r>
        <w:rPr>
          <w:rFonts w:ascii="仿宋" w:hAnsi="仿宋" w:eastAsia="仿宋" w:cs="宋体"/>
          <w:bCs/>
          <w:sz w:val="28"/>
          <w:szCs w:val="28"/>
        </w:rPr>
        <w:t>，那么甲方可要求乙方支付违约金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履行</w:t>
      </w:r>
      <w:r>
        <w:rPr>
          <w:rFonts w:ascii="仿宋" w:hAnsi="仿宋" w:eastAsia="仿宋" w:cs="宋体"/>
          <w:bCs/>
          <w:sz w:val="28"/>
          <w:szCs w:val="28"/>
        </w:rPr>
        <w:t>一日的应提供而未</w:t>
      </w:r>
      <w:r>
        <w:rPr>
          <w:rFonts w:hint="eastAsia" w:ascii="仿宋" w:hAnsi="仿宋" w:eastAsia="仿宋" w:cs="宋体"/>
          <w:bCs/>
          <w:sz w:val="28"/>
          <w:szCs w:val="28"/>
        </w:rPr>
        <w:t>提供</w:t>
      </w:r>
      <w:r>
        <w:rPr>
          <w:rFonts w:ascii="仿宋" w:hAnsi="仿宋" w:eastAsia="仿宋" w:cs="宋体"/>
          <w:bCs/>
          <w:sz w:val="28"/>
          <w:szCs w:val="28"/>
        </w:rPr>
        <w:t>服务价格的</w:t>
      </w:r>
      <w:r>
        <w:rPr>
          <w:rFonts w:hint="eastAsia" w:ascii="仿宋" w:hAnsi="仿宋" w:eastAsia="仿宋" w:cs="宋体"/>
          <w:bCs/>
          <w:sz w:val="28"/>
          <w:szCs w:val="28"/>
        </w:rPr>
        <w:t xml:space="preserve"> </w:t>
      </w:r>
      <w:r>
        <w:rPr>
          <w:rFonts w:ascii="仿宋" w:hAnsi="仿宋" w:eastAsia="仿宋" w:cs="宋体"/>
          <w:bCs/>
          <w:sz w:val="28"/>
          <w:szCs w:val="28"/>
        </w:rPr>
        <w:t>1</w:t>
      </w:r>
      <w:r>
        <w:rPr>
          <w:rFonts w:hint="eastAsia" w:ascii="仿宋" w:hAnsi="仿宋" w:eastAsia="仿宋" w:cs="宋体"/>
          <w:bCs/>
          <w:sz w:val="28"/>
          <w:szCs w:val="28"/>
        </w:rPr>
        <w:t xml:space="preserve"> </w:t>
      </w:r>
      <w:r>
        <w:rPr>
          <w:rFonts w:ascii="仿宋" w:hAnsi="仿宋" w:eastAsia="仿宋" w:cs="宋体"/>
          <w:bCs/>
          <w:sz w:val="28"/>
          <w:szCs w:val="28"/>
        </w:rPr>
        <w:t>%计算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w:t>
      </w:r>
      <w:r>
        <w:rPr>
          <w:rFonts w:hint="eastAsia" w:ascii="仿宋" w:hAnsi="仿宋" w:eastAsia="仿宋" w:cs="宋体"/>
          <w:bCs/>
          <w:sz w:val="28"/>
          <w:szCs w:val="28"/>
        </w:rPr>
        <w:t xml:space="preserve"> </w:t>
      </w:r>
      <w:r>
        <w:rPr>
          <w:rFonts w:ascii="仿宋" w:hAnsi="仿宋" w:eastAsia="仿宋" w:cs="宋体"/>
          <w:bCs/>
          <w:sz w:val="28"/>
          <w:szCs w:val="28"/>
        </w:rPr>
        <w:t>60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履行</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w:t>
      </w:r>
      <w:r>
        <w:rPr>
          <w:rFonts w:ascii="仿宋" w:hAnsi="仿宋" w:eastAsia="仿宋" w:cs="宋体"/>
          <w:bCs/>
          <w:sz w:val="28"/>
          <w:szCs w:val="28"/>
        </w:rPr>
        <w:t>甲方有权在要求乙方支付违约金的同时</w:t>
      </w:r>
      <w:r>
        <w:rPr>
          <w:rFonts w:hint="eastAsia" w:ascii="仿宋" w:hAnsi="仿宋" w:eastAsia="仿宋" w:cs="宋体"/>
          <w:bCs/>
          <w:sz w:val="28"/>
          <w:szCs w:val="28"/>
        </w:rPr>
        <w:t>，书面通知乙方</w:t>
      </w:r>
      <w:r>
        <w:rPr>
          <w:rFonts w:ascii="仿宋" w:hAnsi="仿宋" w:eastAsia="仿宋" w:cs="宋体"/>
          <w:bCs/>
          <w:sz w:val="28"/>
          <w:szCs w:val="28"/>
        </w:rPr>
        <w:t>解除本合同</w:t>
      </w:r>
      <w:r>
        <w:rPr>
          <w:rFonts w:hint="eastAsia" w:ascii="仿宋" w:hAnsi="仿宋" w:eastAsia="仿宋" w:cs="宋体"/>
          <w:bCs/>
          <w:sz w:val="28"/>
          <w:szCs w:val="28"/>
        </w:rPr>
        <w:t>；</w:t>
      </w:r>
    </w:p>
    <w:p w14:paraId="3CFBA4D2">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2、</w:t>
      </w:r>
      <w:r>
        <w:rPr>
          <w:rFonts w:ascii="仿宋" w:hAnsi="仿宋" w:eastAsia="仿宋" w:cs="宋体"/>
          <w:bCs/>
          <w:sz w:val="28"/>
          <w:szCs w:val="28"/>
        </w:rPr>
        <w:t>除不可抗力外，如果甲方没有按照本合同约定的付款方式付款，那么乙方可要求甲方支付违约金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付款</w:t>
      </w:r>
      <w:r>
        <w:rPr>
          <w:rFonts w:ascii="仿宋" w:hAnsi="仿宋" w:eastAsia="仿宋" w:cs="宋体"/>
          <w:bCs/>
          <w:sz w:val="28"/>
          <w:szCs w:val="28"/>
        </w:rPr>
        <w:t>一日的应付而未付款的1%计算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合同总价的40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付款</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，乙</w:t>
      </w:r>
      <w:r>
        <w:rPr>
          <w:rFonts w:ascii="仿宋" w:hAnsi="仿宋" w:eastAsia="仿宋" w:cs="宋体"/>
          <w:bCs/>
          <w:sz w:val="28"/>
          <w:szCs w:val="28"/>
        </w:rPr>
        <w:t>方有权在要求甲方支付违约金的同时</w:t>
      </w:r>
      <w:r>
        <w:rPr>
          <w:rFonts w:hint="eastAsia" w:ascii="仿宋" w:hAnsi="仿宋" w:eastAsia="仿宋" w:cs="宋体"/>
          <w:bCs/>
          <w:sz w:val="28"/>
          <w:szCs w:val="28"/>
        </w:rPr>
        <w:t>，书面通知甲方</w:t>
      </w:r>
      <w:r>
        <w:rPr>
          <w:rFonts w:ascii="仿宋" w:hAnsi="仿宋" w:eastAsia="仿宋" w:cs="宋体"/>
          <w:bCs/>
          <w:sz w:val="28"/>
          <w:szCs w:val="28"/>
        </w:rPr>
        <w:t>解除本合同</w:t>
      </w:r>
      <w:r>
        <w:rPr>
          <w:rFonts w:hint="eastAsia" w:ascii="仿宋" w:hAnsi="仿宋" w:eastAsia="仿宋" w:cs="宋体"/>
          <w:bCs/>
          <w:sz w:val="28"/>
          <w:szCs w:val="28"/>
        </w:rPr>
        <w:t>；</w:t>
      </w:r>
    </w:p>
    <w:p w14:paraId="1021DD42">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1BBDA1">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F4BB36">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AB57D71">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6、如果出现政府采购监督管理部门在处理投诉事项期间，书面通知甲方暂停采购活动的情形，或者询问或质疑事项可能影响成交结果的，导致甲方中止履行合同的情形，均不视为甲方违约。</w:t>
      </w:r>
    </w:p>
    <w:p w14:paraId="29A24D8C">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5ED9AAC">
      <w:pPr>
        <w:spacing w:line="340" w:lineRule="exact"/>
        <w:ind w:firstLine="560" w:firstLineChars="200"/>
        <w:rPr>
          <w:rFonts w:ascii="黑体" w:hAnsi="黑体" w:eastAsia="黑体" w:cs="宋体"/>
          <w:bCs/>
          <w:sz w:val="28"/>
          <w:szCs w:val="28"/>
          <w:bdr w:val="single" w:color="auto" w:sz="4" w:space="0"/>
        </w:rPr>
      </w:pPr>
      <w:r>
        <w:rPr>
          <w:rFonts w:hint="eastAsia" w:ascii="黑体" w:hAnsi="黑体" w:eastAsia="黑体" w:cs="宋体"/>
          <w:bCs/>
          <w:sz w:val="28"/>
          <w:szCs w:val="28"/>
        </w:rPr>
        <w:t>九、合同签订地点</w:t>
      </w:r>
    </w:p>
    <w:p w14:paraId="1D4248C1">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本合同在</w:t>
      </w:r>
      <w:r>
        <w:rPr>
          <w:rFonts w:hint="eastAsia" w:ascii="仿宋" w:hAnsi="仿宋" w:eastAsia="仿宋" w:cs="宋体"/>
          <w:bCs/>
          <w:sz w:val="28"/>
          <w:szCs w:val="28"/>
          <w:u w:val="single"/>
        </w:rPr>
        <w:t xml:space="preserve">    </w:t>
      </w:r>
      <w:r>
        <w:rPr>
          <w:rFonts w:hint="eastAsia" w:ascii="仿宋" w:hAnsi="仿宋" w:eastAsia="仿宋" w:cs="宋体"/>
          <w:sz w:val="28"/>
          <w:szCs w:val="28"/>
          <w:u w:val="single"/>
        </w:rPr>
        <w:t>合肥市文化馆（赖少其艺术馆）</w:t>
      </w:r>
      <w:r>
        <w:rPr>
          <w:rFonts w:hint="eastAsia" w:ascii="仿宋" w:hAnsi="仿宋" w:eastAsia="仿宋" w:cs="宋体"/>
          <w:bCs/>
          <w:sz w:val="28"/>
          <w:szCs w:val="28"/>
          <w:u w:val="single"/>
        </w:rPr>
        <w:t xml:space="preserve">    </w:t>
      </w:r>
      <w:r>
        <w:rPr>
          <w:rFonts w:hint="eastAsia" w:ascii="仿宋" w:hAnsi="仿宋" w:eastAsia="仿宋" w:cs="宋体"/>
          <w:bCs/>
          <w:sz w:val="28"/>
          <w:szCs w:val="28"/>
        </w:rPr>
        <w:t>签订。</w:t>
      </w:r>
    </w:p>
    <w:p w14:paraId="6DD8B919">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十、合同的终止</w:t>
      </w:r>
    </w:p>
    <w:p w14:paraId="0470ED9A">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（一）本合同因下列原因而终止：</w:t>
      </w:r>
    </w:p>
    <w:p w14:paraId="44B88B54">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kern w:val="0"/>
          <w:sz w:val="28"/>
          <w:szCs w:val="28"/>
        </w:rPr>
        <w:t>1、</w:t>
      </w:r>
      <w:r>
        <w:rPr>
          <w:rFonts w:hint="eastAsia" w:ascii="仿宋" w:hAnsi="仿宋" w:eastAsia="仿宋" w:cs="宋体"/>
          <w:bCs/>
          <w:sz w:val="28"/>
          <w:szCs w:val="28"/>
        </w:rPr>
        <w:t>本合同正常履行完毕；</w:t>
      </w:r>
    </w:p>
    <w:p w14:paraId="48E72940">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2、合同双方协议终止本合同的履行；</w:t>
      </w:r>
    </w:p>
    <w:p w14:paraId="65A6B799">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3、不可抗力事件导致本合同无法履行或履行不必要；</w:t>
      </w:r>
    </w:p>
    <w:p w14:paraId="147C958E">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4、符合本合同约定的其他终止合同的条款。</w:t>
      </w:r>
    </w:p>
    <w:p w14:paraId="1FD06757">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（二）对本合同终止有过错的一方应赔偿另一方因合同终止而受到的损失。对合同终止双方均无过错的，则各自承担所受到的损失。</w:t>
      </w:r>
    </w:p>
    <w:p w14:paraId="18EE144D">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十一、其他</w:t>
      </w:r>
    </w:p>
    <w:p w14:paraId="31616FC6">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（一）买卖双方必须严格按照采购文件、投标文件及有关承诺签订采购合同，不得擅自变更。合同执行期内，买卖双方均不得随意变更或解除合同。</w:t>
      </w:r>
    </w:p>
    <w:p w14:paraId="7C978000">
      <w:pPr>
        <w:widowControl/>
        <w:spacing w:line="34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（二）本合同执行期间，如遇不可抗力，致使合同无法履行时，买卖双方应按有关法律规定及时协商处理。</w:t>
      </w:r>
    </w:p>
    <w:p w14:paraId="0945F1E4">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（三）合同未尽事宜，买卖双方另行签订补充协议，补充协议是合同的组成部分。</w:t>
      </w:r>
    </w:p>
    <w:p w14:paraId="0224FD06">
      <w:pPr>
        <w:widowControl/>
        <w:spacing w:line="340" w:lineRule="exact"/>
        <w:ind w:firstLine="560" w:firstLineChars="200"/>
        <w:jc w:val="left"/>
        <w:rPr>
          <w:rFonts w:ascii="仿宋" w:hAnsi="仿宋" w:eastAsia="仿宋" w:cs="宋体"/>
          <w:bCs/>
          <w:sz w:val="28"/>
          <w:szCs w:val="28"/>
        </w:rPr>
      </w:pPr>
      <w:r>
        <w:rPr>
          <w:rFonts w:hint="eastAsia" w:ascii="仿宋" w:hAnsi="仿宋" w:eastAsia="仿宋" w:cs="宋体"/>
          <w:bCs/>
          <w:kern w:val="0"/>
          <w:sz w:val="28"/>
          <w:szCs w:val="28"/>
        </w:rPr>
        <w:t>（四）本合同如发生纠纷，买卖双方应当及时协商解决，协商不成时，按以下第（①）项方式处理：①根据《中华人民共和国仲裁法》的规定向</w:t>
      </w:r>
      <w:r>
        <w:rPr>
          <w:rFonts w:hint="eastAsia" w:ascii="仿宋" w:hAnsi="仿宋" w:eastAsia="仿宋" w:cs="宋体"/>
          <w:bCs/>
          <w:kern w:val="0"/>
          <w:sz w:val="28"/>
          <w:szCs w:val="28"/>
          <w:u w:val="single"/>
        </w:rPr>
        <w:t xml:space="preserve">  合肥  </w:t>
      </w:r>
      <w:r>
        <w:rPr>
          <w:rFonts w:hint="eastAsia" w:ascii="仿宋" w:hAnsi="仿宋" w:eastAsia="仿宋" w:cs="宋体"/>
          <w:bCs/>
          <w:kern w:val="0"/>
          <w:sz w:val="28"/>
          <w:szCs w:val="28"/>
        </w:rPr>
        <w:t>申请仲裁。②向</w:t>
      </w:r>
      <w:r>
        <w:rPr>
          <w:rFonts w:hint="eastAsia" w:ascii="仿宋" w:hAnsi="仿宋" w:eastAsia="仿宋" w:cs="宋体"/>
          <w:bCs/>
          <w:kern w:val="0"/>
          <w:sz w:val="28"/>
          <w:szCs w:val="28"/>
          <w:u w:val="single"/>
        </w:rPr>
        <w:t xml:space="preserve">            </w:t>
      </w:r>
      <w:r>
        <w:rPr>
          <w:rFonts w:hint="eastAsia" w:ascii="仿宋" w:hAnsi="仿宋" w:eastAsia="仿宋" w:cs="宋体"/>
          <w:bCs/>
          <w:kern w:val="0"/>
          <w:sz w:val="28"/>
          <w:szCs w:val="28"/>
        </w:rPr>
        <w:t>人民法院起诉。</w:t>
      </w:r>
      <w:r>
        <w:rPr>
          <w:rFonts w:hint="eastAsia" w:ascii="仿宋" w:hAnsi="仿宋" w:eastAsia="仿宋" w:cs="宋体"/>
          <w:bCs/>
          <w:sz w:val="28"/>
          <w:szCs w:val="28"/>
        </w:rPr>
        <w:t xml:space="preserve">   </w:t>
      </w:r>
    </w:p>
    <w:p w14:paraId="5CB82FFA">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本合同一式陆份，自买卖双方法定代表人或委托代理人签字加盖单位公章后生效。</w:t>
      </w:r>
    </w:p>
    <w:p w14:paraId="1C4DF1D5">
      <w:pPr>
        <w:spacing w:line="340" w:lineRule="exact"/>
        <w:ind w:firstLine="560" w:firstLineChars="200"/>
        <w:rPr>
          <w:rFonts w:ascii="仿宋" w:hAnsi="仿宋" w:eastAsia="仿宋" w:cs="宋体"/>
          <w:bCs/>
          <w:sz w:val="28"/>
          <w:szCs w:val="28"/>
        </w:rPr>
      </w:pPr>
    </w:p>
    <w:p w14:paraId="716B2069">
      <w:pPr>
        <w:spacing w:line="340" w:lineRule="exact"/>
        <w:ind w:firstLine="560" w:firstLineChars="200"/>
        <w:rPr>
          <w:rFonts w:ascii="仿宋" w:hAnsi="仿宋" w:eastAsia="仿宋" w:cs="宋体"/>
          <w:bCs/>
          <w:sz w:val="28"/>
          <w:szCs w:val="28"/>
        </w:rPr>
      </w:pPr>
    </w:p>
    <w:p w14:paraId="02330550">
      <w:pPr>
        <w:spacing w:line="340" w:lineRule="exact"/>
        <w:rPr>
          <w:rFonts w:ascii="仿宋" w:hAnsi="仿宋" w:eastAsia="仿宋" w:cs="宋体"/>
          <w:bCs/>
          <w:sz w:val="28"/>
          <w:szCs w:val="28"/>
        </w:rPr>
      </w:pPr>
    </w:p>
    <w:p w14:paraId="35F88207">
      <w:pPr>
        <w:spacing w:line="340" w:lineRule="exact"/>
        <w:rPr>
          <w:rFonts w:ascii="仿宋" w:hAnsi="仿宋" w:eastAsia="仿宋" w:cs="宋体"/>
          <w:bCs/>
          <w:sz w:val="28"/>
          <w:szCs w:val="28"/>
        </w:rPr>
      </w:pPr>
      <w:r>
        <w:rPr>
          <w:rFonts w:hint="eastAsia" w:ascii="仿宋" w:hAnsi="仿宋" w:eastAsia="仿宋" w:cs="宋体"/>
          <w:bCs/>
          <w:sz w:val="28"/>
          <w:szCs w:val="28"/>
        </w:rPr>
        <w:t>买方：</w:t>
      </w:r>
      <w:r>
        <w:rPr>
          <w:rFonts w:hint="eastAsia" w:ascii="仿宋" w:hAnsi="仿宋" w:eastAsia="仿宋" w:cs="宋体"/>
          <w:sz w:val="28"/>
          <w:szCs w:val="28"/>
        </w:rPr>
        <w:t xml:space="preserve">合肥市文化馆（赖少其艺术馆） </w:t>
      </w:r>
      <w:r>
        <w:rPr>
          <w:rFonts w:hint="eastAsia" w:ascii="仿宋" w:hAnsi="仿宋" w:eastAsia="仿宋" w:cs="宋体"/>
          <w:bCs/>
          <w:sz w:val="28"/>
          <w:szCs w:val="28"/>
        </w:rPr>
        <w:t>卖 方：</w:t>
      </w:r>
    </w:p>
    <w:p w14:paraId="0A7AA8B7">
      <w:pPr>
        <w:spacing w:line="340" w:lineRule="exact"/>
        <w:rPr>
          <w:rFonts w:ascii="仿宋" w:hAnsi="仿宋" w:eastAsia="仿宋" w:cs="宋体"/>
          <w:bCs/>
          <w:sz w:val="28"/>
          <w:szCs w:val="28"/>
        </w:rPr>
      </w:pPr>
      <w:r>
        <w:rPr>
          <w:rFonts w:hint="eastAsia" w:ascii="仿宋" w:hAnsi="仿宋" w:eastAsia="仿宋" w:cs="宋体"/>
          <w:bCs/>
          <w:sz w:val="28"/>
          <w:szCs w:val="28"/>
        </w:rPr>
        <w:t>单位盖章：                         单位盖章：</w:t>
      </w:r>
    </w:p>
    <w:p w14:paraId="4318BC43">
      <w:pPr>
        <w:spacing w:line="340" w:lineRule="exact"/>
        <w:rPr>
          <w:rFonts w:ascii="仿宋" w:hAnsi="仿宋" w:eastAsia="仿宋" w:cs="宋体"/>
          <w:bCs/>
          <w:sz w:val="28"/>
          <w:szCs w:val="28"/>
        </w:rPr>
      </w:pPr>
      <w:r>
        <w:rPr>
          <w:rFonts w:hint="eastAsia" w:ascii="仿宋" w:hAnsi="仿宋" w:eastAsia="仿宋" w:cs="宋体"/>
          <w:bCs/>
          <w:sz w:val="28"/>
          <w:szCs w:val="28"/>
        </w:rPr>
        <w:t>经办</w:t>
      </w:r>
      <w:r>
        <w:rPr>
          <w:rFonts w:ascii="仿宋" w:hAnsi="仿宋" w:eastAsia="仿宋" w:cs="宋体"/>
          <w:bCs/>
          <w:sz w:val="28"/>
          <w:szCs w:val="28"/>
        </w:rPr>
        <w:t>人：</w:t>
      </w:r>
    </w:p>
    <w:p w14:paraId="10004DEF">
      <w:pPr>
        <w:spacing w:line="340" w:lineRule="exact"/>
        <w:rPr>
          <w:rFonts w:ascii="仿宋" w:hAnsi="仿宋" w:eastAsia="仿宋" w:cs="宋体"/>
          <w:bCs/>
          <w:sz w:val="28"/>
          <w:szCs w:val="28"/>
        </w:rPr>
      </w:pPr>
      <w:r>
        <w:rPr>
          <w:rFonts w:hint="eastAsia" w:ascii="仿宋" w:hAnsi="仿宋" w:eastAsia="仿宋" w:cs="宋体"/>
          <w:bCs/>
          <w:sz w:val="28"/>
          <w:szCs w:val="28"/>
        </w:rPr>
        <w:t>法定代表人或委托代理人：           法定代表人或委托代理人：</w:t>
      </w:r>
    </w:p>
    <w:p w14:paraId="3163FDDF">
      <w:pPr>
        <w:spacing w:line="340" w:lineRule="exact"/>
        <w:rPr>
          <w:rFonts w:ascii="仿宋" w:hAnsi="仿宋" w:eastAsia="仿宋" w:cs="宋体"/>
          <w:sz w:val="28"/>
          <w:szCs w:val="28"/>
        </w:rPr>
      </w:pPr>
      <w:r>
        <w:rPr>
          <w:rFonts w:hint="eastAsia" w:ascii="仿宋" w:hAnsi="仿宋" w:eastAsia="仿宋" w:cs="宋体"/>
          <w:bCs/>
          <w:sz w:val="28"/>
          <w:szCs w:val="28"/>
        </w:rPr>
        <w:t>日    期：                         日    期:</w:t>
      </w:r>
    </w:p>
    <w:p w14:paraId="67D2A7CF"/>
    <w:p w14:paraId="306E0566">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姚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KSOFBE20D431">
    <w:panose1 w:val="0201060103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D84"/>
    <w:multiLevelType w:val="singleLevel"/>
    <w:tmpl w:val="30E20D84"/>
    <w:lvl w:ilvl="0" w:tentative="0">
      <w:start w:val="1"/>
      <w:numFmt w:val="decimal"/>
      <w:lvlText w:val="(%1)"/>
      <w:lvlJc w:val="left"/>
      <w:pPr>
        <w:tabs>
          <w:tab w:val="left" w:pos="960"/>
        </w:tabs>
        <w:ind w:left="960" w:hanging="4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1B46"/>
    <w:rsid w:val="04E81B46"/>
    <w:rsid w:val="5F85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styleId="3">
    <w:name w:val="envelope return"/>
    <w:basedOn w:val="1"/>
    <w:qFormat/>
    <w:uiPriority w:val="0"/>
    <w:pPr>
      <w:snapToGrid w:val="0"/>
    </w:pPr>
    <w:rPr>
      <w:rFonts w:ascii="Arial" w:hAnsi="Arial" w:eastAsia="宋体" w:cs="Times New Roman"/>
    </w:rPr>
  </w:style>
  <w:style w:type="paragraph" w:styleId="4">
    <w:name w:val="Body Text First Indent 2"/>
    <w:basedOn w:val="2"/>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2026-04-21T02:49:00Z</dcterms:created>
  <dc:creator>A0合肥锐科网络傅世友</dc:creator>
  <cp:lastModifiedBy>A0合肥锐科网络傅世友</cp:lastModifiedBy>
  <dcterms:modified xsi:type="dcterms:W3CDTF">2026-04-21T02:50:37Z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3B7C8A925C4A46CBB48BF777058751B0_11</vt:lpwstr>
  </property>
  <property fmtid="{D5CDD505-2E9C-101B-9397-08002B2CF9AE}" pid="4" name="KSOTemplateDocerSaveRecord">
    <vt:lpwstr>eyJoZGlkIjoiNDZlZDQxMDQ4ZjdhNzBjZTNhMTAwMjc5MzEzYzkwNjEiLCJ1c2VySWQiOiIyNTk3ODgwNjYifQ==</vt:lpwstr>
  </property>
</Properties>
</file>